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D576E" w14:textId="623D15C6" w:rsidR="002B6ACF" w:rsidRDefault="002B6ACF" w:rsidP="002B6ACF">
      <w:pPr>
        <w:rPr>
          <w:rFonts w:asciiTheme="majorHAnsi" w:hAnsiTheme="majorHAnsi" w:cs="Arial"/>
          <w:b/>
        </w:rPr>
      </w:pPr>
      <w:r>
        <w:rPr>
          <w:rFonts w:asciiTheme="majorHAnsi" w:hAnsiTheme="majorHAnsi" w:cs="Arial"/>
          <w:b/>
        </w:rPr>
        <w:t>Press Release:</w:t>
      </w:r>
    </w:p>
    <w:p w14:paraId="5C792F02" w14:textId="77777777" w:rsidR="002B6ACF" w:rsidRDefault="002B6ACF" w:rsidP="002B6ACF">
      <w:pPr>
        <w:rPr>
          <w:rFonts w:asciiTheme="majorHAnsi" w:hAnsiTheme="majorHAnsi" w:cs="Arial"/>
          <w:b/>
        </w:rPr>
      </w:pPr>
    </w:p>
    <w:p w14:paraId="3D3CE028" w14:textId="300D5704" w:rsidR="00EC25BB" w:rsidRDefault="002B6ACF" w:rsidP="002B6ACF">
      <w:pPr>
        <w:rPr>
          <w:rFonts w:asciiTheme="majorHAnsi" w:hAnsiTheme="majorHAnsi" w:cs="Arial"/>
          <w:b/>
        </w:rPr>
      </w:pPr>
      <w:r>
        <w:rPr>
          <w:rFonts w:asciiTheme="majorHAnsi" w:hAnsiTheme="majorHAnsi" w:cs="Arial"/>
          <w:b/>
        </w:rPr>
        <w:t xml:space="preserve">MVC </w:t>
      </w:r>
      <w:r w:rsidR="00701AF5" w:rsidRPr="002B6ACF">
        <w:rPr>
          <w:rFonts w:asciiTheme="majorHAnsi" w:hAnsiTheme="majorHAnsi" w:cs="Arial"/>
          <w:b/>
        </w:rPr>
        <w:t xml:space="preserve">STATEMENT ON LAUNCHING OF LITIGATION </w:t>
      </w:r>
    </w:p>
    <w:p w14:paraId="0ACFEE87" w14:textId="65FE5BC0" w:rsidR="002B6ACF" w:rsidRDefault="002B6ACF" w:rsidP="002B6ACF">
      <w:pPr>
        <w:rPr>
          <w:rFonts w:asciiTheme="majorHAnsi" w:hAnsiTheme="majorHAnsi" w:cs="Arial"/>
          <w:b/>
        </w:rPr>
      </w:pPr>
    </w:p>
    <w:p w14:paraId="6A12C31E" w14:textId="759451CC" w:rsidR="002B6ACF" w:rsidRPr="002B6ACF" w:rsidRDefault="002B6ACF" w:rsidP="002B6ACF">
      <w:pPr>
        <w:rPr>
          <w:rFonts w:asciiTheme="majorHAnsi" w:hAnsiTheme="majorHAnsi" w:cs="Arial"/>
          <w:b/>
        </w:rPr>
      </w:pPr>
      <w:r>
        <w:rPr>
          <w:rFonts w:asciiTheme="majorHAnsi" w:hAnsiTheme="majorHAnsi" w:cs="Arial"/>
          <w:b/>
        </w:rPr>
        <w:t>28 July 2016</w:t>
      </w:r>
    </w:p>
    <w:p w14:paraId="63703E36" w14:textId="77777777" w:rsidR="00FC43E6" w:rsidRPr="002B6ACF" w:rsidRDefault="00FC43E6" w:rsidP="002B6ACF">
      <w:pPr>
        <w:rPr>
          <w:rFonts w:asciiTheme="majorHAnsi" w:hAnsiTheme="majorHAnsi" w:cs="Arial"/>
          <w:b/>
          <w:u w:val="single"/>
        </w:rPr>
      </w:pPr>
    </w:p>
    <w:p w14:paraId="640F9C18" w14:textId="77777777" w:rsidR="00701AF5" w:rsidRPr="002B6ACF" w:rsidRDefault="00701AF5" w:rsidP="002B6ACF">
      <w:pPr>
        <w:rPr>
          <w:rFonts w:asciiTheme="majorHAnsi" w:hAnsiTheme="majorHAnsi" w:cs="Arial"/>
          <w:b/>
          <w:u w:val="single"/>
        </w:rPr>
      </w:pPr>
    </w:p>
    <w:p w14:paraId="1E022C0A" w14:textId="4B7D74BD" w:rsidR="00EC25BB" w:rsidRPr="002B6ACF" w:rsidRDefault="00EC25BB" w:rsidP="002B6ACF">
      <w:pPr>
        <w:rPr>
          <w:rFonts w:asciiTheme="majorHAnsi" w:hAnsiTheme="majorHAnsi"/>
        </w:rPr>
      </w:pPr>
      <w:r w:rsidRPr="002B6ACF">
        <w:rPr>
          <w:rFonts w:asciiTheme="majorHAnsi" w:hAnsiTheme="majorHAnsi" w:cs="Arial"/>
          <w:b/>
        </w:rPr>
        <w:t xml:space="preserve">INTRODUCTION </w:t>
      </w:r>
    </w:p>
    <w:p w14:paraId="32674157" w14:textId="6198D150" w:rsidR="00BC042B" w:rsidRPr="002B6ACF" w:rsidRDefault="00BC042B" w:rsidP="002B6ACF">
      <w:pPr>
        <w:pStyle w:val="WWList1"/>
        <w:spacing w:line="240" w:lineRule="auto"/>
        <w:rPr>
          <w:rFonts w:asciiTheme="majorHAnsi" w:hAnsiTheme="majorHAnsi"/>
        </w:rPr>
      </w:pPr>
      <w:r w:rsidRPr="002B6ACF">
        <w:rPr>
          <w:rFonts w:asciiTheme="majorHAnsi" w:hAnsiTheme="majorHAnsi"/>
        </w:rPr>
        <w:t>MVC believes that every vote counts. And we believe it must count more than the ra</w:t>
      </w:r>
      <w:bookmarkStart w:id="0" w:name="_GoBack"/>
      <w:bookmarkEnd w:id="0"/>
      <w:r w:rsidRPr="002B6ACF">
        <w:rPr>
          <w:rFonts w:asciiTheme="majorHAnsi" w:hAnsiTheme="majorHAnsi"/>
        </w:rPr>
        <w:t>nds and cents that political parties collect in order to campaign for pub</w:t>
      </w:r>
      <w:r w:rsidR="0048700D">
        <w:rPr>
          <w:rFonts w:asciiTheme="majorHAnsi" w:hAnsiTheme="majorHAnsi"/>
        </w:rPr>
        <w:t>l</w:t>
      </w:r>
      <w:r w:rsidRPr="002B6ACF">
        <w:rPr>
          <w:rFonts w:asciiTheme="majorHAnsi" w:hAnsiTheme="majorHAnsi"/>
        </w:rPr>
        <w:t>ic office. When individuals, or companies, or foreign governments make financial donations to political parties, and they become more important than the common voter, or where their voice is heard louder and taken more seriously than yours and mine, democracy is in danger. We refuse to let our hard won democracy be reduced to the economic principle of one rand, one vote. Our democracy will not be put up for sale to highest bidder.</w:t>
      </w:r>
    </w:p>
    <w:p w14:paraId="213C854D" w14:textId="79DA231D" w:rsidR="00BC042B" w:rsidRPr="002B6ACF" w:rsidRDefault="00BC042B" w:rsidP="002B6ACF">
      <w:pPr>
        <w:pStyle w:val="WWList1"/>
        <w:spacing w:line="240" w:lineRule="auto"/>
        <w:rPr>
          <w:rFonts w:asciiTheme="majorHAnsi" w:hAnsiTheme="majorHAnsi"/>
        </w:rPr>
      </w:pPr>
      <w:r w:rsidRPr="002B6ACF">
        <w:rPr>
          <w:rFonts w:asciiTheme="majorHAnsi" w:hAnsiTheme="majorHAnsi"/>
        </w:rPr>
        <w:t xml:space="preserve">That is why we believe that every cent received by a political party in order pursue a public promise must be accounted for to the public. </w:t>
      </w:r>
      <w:r w:rsidR="00FA20F7" w:rsidRPr="002B6ACF">
        <w:rPr>
          <w:rFonts w:asciiTheme="majorHAnsi" w:hAnsiTheme="majorHAnsi"/>
        </w:rPr>
        <w:t xml:space="preserve">It is a simple equation: if you stand for citizens under the Constitution, you will stand accountable to citizens under the principles of the Constitution. </w:t>
      </w:r>
    </w:p>
    <w:p w14:paraId="54604BA8" w14:textId="2ED44B96" w:rsidR="00EF1A86" w:rsidRPr="002B6ACF" w:rsidRDefault="00FA20F7" w:rsidP="002B6ACF">
      <w:pPr>
        <w:pStyle w:val="WWList1"/>
        <w:spacing w:line="240" w:lineRule="auto"/>
        <w:rPr>
          <w:rFonts w:asciiTheme="majorHAnsi" w:hAnsiTheme="majorHAnsi"/>
        </w:rPr>
      </w:pPr>
      <w:r w:rsidRPr="002B6ACF">
        <w:rPr>
          <w:rFonts w:asciiTheme="majorHAnsi" w:hAnsiTheme="majorHAnsi"/>
          <w:lang w:val="en-US"/>
        </w:rPr>
        <w:t>We know that p</w:t>
      </w:r>
      <w:r w:rsidR="00EF1A86" w:rsidRPr="002B6ACF">
        <w:rPr>
          <w:rFonts w:asciiTheme="majorHAnsi" w:hAnsiTheme="majorHAnsi"/>
          <w:lang w:val="en-US"/>
        </w:rPr>
        <w:t>olitical parties receive money fr</w:t>
      </w:r>
      <w:r w:rsidR="00172E4A" w:rsidRPr="002B6ACF">
        <w:rPr>
          <w:rFonts w:asciiTheme="majorHAnsi" w:hAnsiTheme="majorHAnsi"/>
          <w:lang w:val="en-US"/>
        </w:rPr>
        <w:t>om public and private sources. </w:t>
      </w:r>
      <w:r w:rsidRPr="002B6ACF">
        <w:rPr>
          <w:rFonts w:asciiTheme="majorHAnsi" w:hAnsiTheme="majorHAnsi"/>
          <w:lang w:val="en-US"/>
        </w:rPr>
        <w:t>However, t</w:t>
      </w:r>
      <w:r w:rsidR="00EF1A86" w:rsidRPr="002B6ACF">
        <w:rPr>
          <w:rFonts w:asciiTheme="majorHAnsi" w:hAnsiTheme="majorHAnsi"/>
          <w:lang w:val="en-US"/>
        </w:rPr>
        <w:t>he law deals differently with the two types of funding.</w:t>
      </w:r>
    </w:p>
    <w:p w14:paraId="0D434593" w14:textId="77777777" w:rsidR="00EF1A86" w:rsidRPr="002B6ACF" w:rsidRDefault="00EF1A86" w:rsidP="002B6ACF">
      <w:pPr>
        <w:pStyle w:val="WWList1"/>
        <w:spacing w:line="240" w:lineRule="auto"/>
        <w:rPr>
          <w:rFonts w:asciiTheme="majorHAnsi" w:hAnsiTheme="majorHAnsi"/>
        </w:rPr>
      </w:pPr>
      <w:r w:rsidRPr="002B6ACF">
        <w:rPr>
          <w:rFonts w:asciiTheme="majorHAnsi" w:hAnsiTheme="majorHAnsi"/>
          <w:lang w:val="en-US"/>
        </w:rPr>
        <w:t>No legislation requires systematic and proactive disclosure of private funding of political parties.  Public funding, by contrast, has already be</w:t>
      </w:r>
      <w:r w:rsidR="00164722" w:rsidRPr="002B6ACF">
        <w:rPr>
          <w:rFonts w:asciiTheme="majorHAnsi" w:hAnsiTheme="majorHAnsi"/>
          <w:lang w:val="en-US"/>
        </w:rPr>
        <w:t>en dealt with in legislation. </w:t>
      </w:r>
      <w:r w:rsidRPr="002B6ACF">
        <w:rPr>
          <w:rFonts w:asciiTheme="majorHAnsi" w:hAnsiTheme="majorHAnsi"/>
          <w:lang w:val="en-US"/>
        </w:rPr>
        <w:t>Parliament passed this legislation in 1997 when it enacted the Public Funding of Represented Political Parties Act.</w:t>
      </w:r>
      <w:r w:rsidR="00164722" w:rsidRPr="002B6ACF">
        <w:rPr>
          <w:rFonts w:asciiTheme="majorHAnsi" w:hAnsiTheme="majorHAnsi"/>
          <w:lang w:val="en-US"/>
        </w:rPr>
        <w:t xml:space="preserve"> This is despite the fact that private funding is estimated to outweigh the receipt of public funds considerably. </w:t>
      </w:r>
    </w:p>
    <w:p w14:paraId="68D0CE33" w14:textId="26F44436" w:rsidR="00FC43E6" w:rsidRPr="002B6ACF" w:rsidRDefault="00EF1A86" w:rsidP="002B6ACF">
      <w:pPr>
        <w:pStyle w:val="WWList1"/>
        <w:spacing w:line="240" w:lineRule="auto"/>
        <w:ind w:left="567" w:hanging="567"/>
        <w:rPr>
          <w:rFonts w:asciiTheme="majorHAnsi" w:hAnsiTheme="majorHAnsi"/>
        </w:rPr>
      </w:pPr>
      <w:r w:rsidRPr="002B6ACF">
        <w:rPr>
          <w:rFonts w:asciiTheme="majorHAnsi" w:hAnsiTheme="majorHAnsi"/>
          <w:lang w:val="en-US"/>
        </w:rPr>
        <w:t>MVC seeks to change this position</w:t>
      </w:r>
      <w:r w:rsidR="00FA20F7" w:rsidRPr="002B6ACF">
        <w:rPr>
          <w:rFonts w:asciiTheme="majorHAnsi" w:hAnsiTheme="majorHAnsi"/>
          <w:lang w:val="en-US"/>
        </w:rPr>
        <w:t>.</w:t>
      </w:r>
    </w:p>
    <w:p w14:paraId="2D836467" w14:textId="77777777" w:rsidR="00172E4A" w:rsidRPr="002B6ACF" w:rsidRDefault="00172E4A" w:rsidP="002B6ACF">
      <w:pPr>
        <w:pStyle w:val="WWList1"/>
        <w:spacing w:line="240" w:lineRule="auto"/>
        <w:rPr>
          <w:rFonts w:asciiTheme="majorHAnsi" w:hAnsiTheme="majorHAnsi"/>
        </w:rPr>
      </w:pPr>
      <w:r w:rsidRPr="002B6ACF">
        <w:rPr>
          <w:rFonts w:asciiTheme="majorHAnsi" w:hAnsiTheme="majorHAnsi"/>
          <w:lang w:val="en-US"/>
        </w:rPr>
        <w:t xml:space="preserve">The founding premise of our case is the </w:t>
      </w:r>
      <w:r w:rsidR="00701AF5" w:rsidRPr="002B6ACF">
        <w:rPr>
          <w:rFonts w:asciiTheme="majorHAnsi" w:hAnsiTheme="majorHAnsi"/>
          <w:lang w:val="en-US"/>
        </w:rPr>
        <w:t>special</w:t>
      </w:r>
      <w:r w:rsidRPr="002B6ACF">
        <w:rPr>
          <w:rFonts w:asciiTheme="majorHAnsi" w:hAnsiTheme="majorHAnsi"/>
          <w:lang w:val="en-US"/>
        </w:rPr>
        <w:t xml:space="preserve"> role of political parties in our constitutional democracy</w:t>
      </w:r>
      <w:r w:rsidR="00AC6318" w:rsidRPr="002B6ACF">
        <w:rPr>
          <w:rFonts w:asciiTheme="majorHAnsi" w:hAnsiTheme="majorHAnsi"/>
          <w:lang w:val="en-US"/>
        </w:rPr>
        <w:t xml:space="preserve">. </w:t>
      </w:r>
      <w:r w:rsidRPr="002B6ACF">
        <w:rPr>
          <w:rFonts w:asciiTheme="majorHAnsi" w:hAnsiTheme="majorHAnsi"/>
          <w:lang w:val="en-US"/>
        </w:rPr>
        <w:t>They are in the words of the Constitutional Court, “</w:t>
      </w:r>
      <w:r w:rsidRPr="002B6ACF">
        <w:rPr>
          <w:rFonts w:asciiTheme="majorHAnsi" w:hAnsiTheme="majorHAnsi"/>
          <w:i/>
          <w:lang w:val="en-US"/>
        </w:rPr>
        <w:t>the veritable vehicles the Constitution has chosen for facilitating and entrenching democracy</w:t>
      </w:r>
      <w:r w:rsidRPr="002B6ACF">
        <w:rPr>
          <w:rFonts w:asciiTheme="majorHAnsi" w:hAnsiTheme="majorHAnsi"/>
          <w:lang w:val="en-US"/>
        </w:rPr>
        <w:t>”.</w:t>
      </w:r>
    </w:p>
    <w:p w14:paraId="24AF9026" w14:textId="77777777" w:rsidR="00701AF5" w:rsidRPr="002B6ACF" w:rsidRDefault="00172E4A" w:rsidP="002B6ACF">
      <w:pPr>
        <w:pStyle w:val="WWList1"/>
        <w:spacing w:line="240" w:lineRule="auto"/>
        <w:rPr>
          <w:rFonts w:asciiTheme="majorHAnsi" w:hAnsiTheme="majorHAnsi"/>
        </w:rPr>
      </w:pPr>
      <w:r w:rsidRPr="002B6ACF">
        <w:rPr>
          <w:rFonts w:asciiTheme="majorHAnsi" w:hAnsiTheme="majorHAnsi"/>
          <w:lang w:val="en-US"/>
        </w:rPr>
        <w:t xml:space="preserve">The flow of funds to political parties, </w:t>
      </w:r>
      <w:r w:rsidR="00AC6318" w:rsidRPr="002B6ACF">
        <w:rPr>
          <w:rFonts w:asciiTheme="majorHAnsi" w:hAnsiTheme="majorHAnsi"/>
          <w:lang w:val="en-US"/>
        </w:rPr>
        <w:t xml:space="preserve">whether </w:t>
      </w:r>
      <w:r w:rsidRPr="002B6ACF">
        <w:rPr>
          <w:rFonts w:asciiTheme="majorHAnsi" w:hAnsiTheme="majorHAnsi"/>
          <w:lang w:val="en-US"/>
        </w:rPr>
        <w:t>public or private, is inextricably tied to their pivotal role in our country’s democratic functioning</w:t>
      </w:r>
      <w:r w:rsidR="00AC6318" w:rsidRPr="002B6ACF">
        <w:rPr>
          <w:rFonts w:asciiTheme="majorHAnsi" w:hAnsiTheme="majorHAnsi"/>
          <w:lang w:val="en-US"/>
        </w:rPr>
        <w:t xml:space="preserve">. </w:t>
      </w:r>
      <w:r w:rsidR="00EC25BB" w:rsidRPr="002B6ACF">
        <w:rPr>
          <w:rFonts w:asciiTheme="majorHAnsi" w:hAnsiTheme="majorHAnsi"/>
          <w:lang w:val="en-US"/>
        </w:rPr>
        <w:t>T</w:t>
      </w:r>
      <w:r w:rsidR="00AC6318" w:rsidRPr="002B6ACF">
        <w:rPr>
          <w:rFonts w:asciiTheme="majorHAnsi" w:hAnsiTheme="majorHAnsi"/>
          <w:lang w:val="en-US"/>
        </w:rPr>
        <w:t>he public can only properly hold their elected representatives accountable if they are sufficiently informed of the relative merits</w:t>
      </w:r>
      <w:r w:rsidR="00701AF5" w:rsidRPr="002B6ACF">
        <w:rPr>
          <w:rFonts w:asciiTheme="majorHAnsi" w:hAnsiTheme="majorHAnsi"/>
          <w:lang w:val="en-US"/>
        </w:rPr>
        <w:t xml:space="preserve"> of the issues at stake.</w:t>
      </w:r>
      <w:r w:rsidR="00701AF5" w:rsidRPr="002B6ACF">
        <w:rPr>
          <w:rFonts w:asciiTheme="majorHAnsi" w:hAnsiTheme="majorHAnsi"/>
        </w:rPr>
        <w:t xml:space="preserve"> </w:t>
      </w:r>
      <w:r w:rsidR="00AC6318" w:rsidRPr="002B6ACF">
        <w:rPr>
          <w:rFonts w:asciiTheme="majorHAnsi" w:hAnsiTheme="majorHAnsi"/>
          <w:lang w:val="en-US"/>
        </w:rPr>
        <w:t xml:space="preserve">We </w:t>
      </w:r>
      <w:r w:rsidR="00701AF5" w:rsidRPr="002B6ACF">
        <w:rPr>
          <w:rFonts w:asciiTheme="majorHAnsi" w:hAnsiTheme="majorHAnsi"/>
          <w:lang w:val="en-US"/>
        </w:rPr>
        <w:t xml:space="preserve">therefore </w:t>
      </w:r>
      <w:r w:rsidR="00AC6318" w:rsidRPr="002B6ACF">
        <w:rPr>
          <w:rFonts w:asciiTheme="majorHAnsi" w:hAnsiTheme="majorHAnsi"/>
          <w:lang w:val="en-US"/>
        </w:rPr>
        <w:t>believe that the right to vote for a political party is a right to cast an informed vote.</w:t>
      </w:r>
    </w:p>
    <w:p w14:paraId="7E39B547" w14:textId="77777777" w:rsidR="00172E4A" w:rsidRPr="002B6ACF" w:rsidRDefault="00AC6318" w:rsidP="002B6ACF">
      <w:pPr>
        <w:pStyle w:val="WWList1"/>
        <w:spacing w:line="240" w:lineRule="auto"/>
        <w:rPr>
          <w:rFonts w:asciiTheme="majorHAnsi" w:hAnsiTheme="majorHAnsi"/>
        </w:rPr>
      </w:pPr>
      <w:r w:rsidRPr="002B6ACF">
        <w:rPr>
          <w:rFonts w:asciiTheme="majorHAnsi" w:hAnsiTheme="majorHAnsi"/>
          <w:lang w:val="en-US"/>
        </w:rPr>
        <w:t>Does this include knowing the private sources of political parties’ funding?  We believe it does.</w:t>
      </w:r>
    </w:p>
    <w:p w14:paraId="06EC5CD5" w14:textId="77777777" w:rsidR="00B2407C" w:rsidRPr="002B6ACF" w:rsidRDefault="003D7119" w:rsidP="002B6ACF">
      <w:pPr>
        <w:pStyle w:val="WWList1"/>
        <w:spacing w:line="240" w:lineRule="auto"/>
        <w:rPr>
          <w:rFonts w:asciiTheme="majorHAnsi" w:hAnsiTheme="majorHAnsi"/>
        </w:rPr>
      </w:pPr>
      <w:r w:rsidRPr="002B6ACF">
        <w:rPr>
          <w:rFonts w:asciiTheme="majorHAnsi" w:hAnsiTheme="majorHAnsi"/>
        </w:rPr>
        <w:t xml:space="preserve">This belief </w:t>
      </w:r>
      <w:r w:rsidR="00FC43E6" w:rsidRPr="002B6ACF">
        <w:rPr>
          <w:rFonts w:asciiTheme="majorHAnsi" w:hAnsiTheme="majorHAnsi"/>
        </w:rPr>
        <w:t>is</w:t>
      </w:r>
      <w:r w:rsidRPr="002B6ACF">
        <w:rPr>
          <w:rFonts w:asciiTheme="majorHAnsi" w:hAnsiTheme="majorHAnsi"/>
        </w:rPr>
        <w:t xml:space="preserve"> based</w:t>
      </w:r>
      <w:r w:rsidR="00B2407C" w:rsidRPr="002B6ACF">
        <w:rPr>
          <w:rFonts w:asciiTheme="majorHAnsi" w:hAnsiTheme="majorHAnsi"/>
        </w:rPr>
        <w:t xml:space="preserve"> </w:t>
      </w:r>
      <w:r w:rsidRPr="002B6ACF">
        <w:rPr>
          <w:rFonts w:asciiTheme="majorHAnsi" w:hAnsiTheme="majorHAnsi"/>
        </w:rPr>
        <w:t xml:space="preserve">on </w:t>
      </w:r>
      <w:r w:rsidR="00B2407C" w:rsidRPr="002B6ACF">
        <w:rPr>
          <w:rFonts w:asciiTheme="majorHAnsi" w:hAnsiTheme="majorHAnsi"/>
        </w:rPr>
        <w:t>what the Constitution says about</w:t>
      </w:r>
      <w:r w:rsidRPr="002B6ACF">
        <w:rPr>
          <w:rFonts w:asciiTheme="majorHAnsi" w:hAnsiTheme="majorHAnsi"/>
        </w:rPr>
        <w:t xml:space="preserve"> access to</w:t>
      </w:r>
      <w:r w:rsidR="00B2407C" w:rsidRPr="002B6ACF">
        <w:rPr>
          <w:rFonts w:asciiTheme="majorHAnsi" w:hAnsiTheme="majorHAnsi"/>
        </w:rPr>
        <w:t xml:space="preserve"> information and </w:t>
      </w:r>
      <w:r w:rsidRPr="002B6ACF">
        <w:rPr>
          <w:rFonts w:asciiTheme="majorHAnsi" w:hAnsiTheme="majorHAnsi"/>
        </w:rPr>
        <w:t xml:space="preserve">the nature of the </w:t>
      </w:r>
      <w:r w:rsidR="00B2407C" w:rsidRPr="002B6ACF">
        <w:rPr>
          <w:rFonts w:asciiTheme="majorHAnsi" w:hAnsiTheme="majorHAnsi"/>
        </w:rPr>
        <w:t>political rights</w:t>
      </w:r>
      <w:r w:rsidRPr="002B6ACF">
        <w:rPr>
          <w:rFonts w:asciiTheme="majorHAnsi" w:hAnsiTheme="majorHAnsi"/>
        </w:rPr>
        <w:t xml:space="preserve"> we enjoy</w:t>
      </w:r>
      <w:r w:rsidR="00AC6318" w:rsidRPr="002B6ACF">
        <w:rPr>
          <w:rFonts w:asciiTheme="majorHAnsi" w:hAnsiTheme="majorHAnsi"/>
        </w:rPr>
        <w:t>.</w:t>
      </w:r>
      <w:r w:rsidR="00EC25BB" w:rsidRPr="002B6ACF">
        <w:rPr>
          <w:rFonts w:asciiTheme="majorHAnsi" w:hAnsiTheme="majorHAnsi"/>
        </w:rPr>
        <w:t xml:space="preserve"> </w:t>
      </w:r>
    </w:p>
    <w:p w14:paraId="34B20A8E" w14:textId="77777777" w:rsidR="00EC25BB" w:rsidRPr="002B6ACF" w:rsidRDefault="00EC25BB" w:rsidP="002B6ACF">
      <w:pPr>
        <w:pStyle w:val="WWList1"/>
        <w:spacing w:line="240" w:lineRule="auto"/>
        <w:ind w:left="567" w:hanging="567"/>
        <w:rPr>
          <w:rFonts w:asciiTheme="majorHAnsi" w:hAnsiTheme="majorHAnsi"/>
          <w:b/>
        </w:rPr>
      </w:pPr>
      <w:r w:rsidRPr="002B6ACF">
        <w:rPr>
          <w:rFonts w:asciiTheme="majorHAnsi" w:hAnsiTheme="majorHAnsi"/>
          <w:b/>
          <w:lang w:val="en-US"/>
        </w:rPr>
        <w:lastRenderedPageBreak/>
        <w:t xml:space="preserve">MVC’S LITIGATION </w:t>
      </w:r>
    </w:p>
    <w:p w14:paraId="2D4BC5C0" w14:textId="77777777" w:rsidR="003D7119" w:rsidRPr="002B6ACF" w:rsidRDefault="003D7119" w:rsidP="002B6ACF">
      <w:pPr>
        <w:pStyle w:val="WWList1"/>
        <w:spacing w:line="240" w:lineRule="auto"/>
        <w:rPr>
          <w:rFonts w:asciiTheme="majorHAnsi" w:hAnsiTheme="majorHAnsi"/>
        </w:rPr>
      </w:pPr>
      <w:r w:rsidRPr="002B6ACF">
        <w:rPr>
          <w:rFonts w:asciiTheme="majorHAnsi" w:hAnsiTheme="majorHAnsi"/>
        </w:rPr>
        <w:t>In light of this constitutional provision</w:t>
      </w:r>
      <w:r w:rsidR="00FC43E6" w:rsidRPr="002B6ACF">
        <w:rPr>
          <w:rFonts w:asciiTheme="majorHAnsi" w:hAnsiTheme="majorHAnsi"/>
        </w:rPr>
        <w:t>s</w:t>
      </w:r>
      <w:r w:rsidRPr="002B6ACF">
        <w:rPr>
          <w:rFonts w:asciiTheme="majorHAnsi" w:hAnsiTheme="majorHAnsi"/>
        </w:rPr>
        <w:t xml:space="preserve">, we </w:t>
      </w:r>
      <w:r w:rsidR="009178D1" w:rsidRPr="002B6ACF">
        <w:rPr>
          <w:rFonts w:asciiTheme="majorHAnsi" w:hAnsiTheme="majorHAnsi"/>
        </w:rPr>
        <w:t xml:space="preserve">originally </w:t>
      </w:r>
      <w:r w:rsidRPr="002B6ACF">
        <w:rPr>
          <w:rFonts w:asciiTheme="majorHAnsi" w:hAnsiTheme="majorHAnsi"/>
        </w:rPr>
        <w:t>sought an order from the Constitutional Court in 2015 compelling Parliament</w:t>
      </w:r>
      <w:r w:rsidR="00164722" w:rsidRPr="002B6ACF">
        <w:rPr>
          <w:rFonts w:asciiTheme="majorHAnsi" w:hAnsiTheme="majorHAnsi"/>
        </w:rPr>
        <w:t xml:space="preserve"> to enact legislation in order </w:t>
      </w:r>
      <w:r w:rsidRPr="002B6ACF">
        <w:rPr>
          <w:rFonts w:asciiTheme="majorHAnsi" w:hAnsiTheme="majorHAnsi"/>
        </w:rPr>
        <w:t xml:space="preserve">to give effect to </w:t>
      </w:r>
      <w:r w:rsidR="00164722" w:rsidRPr="002B6ACF">
        <w:rPr>
          <w:rFonts w:asciiTheme="majorHAnsi" w:hAnsiTheme="majorHAnsi"/>
        </w:rPr>
        <w:t>these</w:t>
      </w:r>
      <w:r w:rsidRPr="002B6ACF">
        <w:rPr>
          <w:rFonts w:asciiTheme="majorHAnsi" w:hAnsiTheme="majorHAnsi"/>
        </w:rPr>
        <w:t xml:space="preserve"> right</w:t>
      </w:r>
      <w:r w:rsidR="00164722" w:rsidRPr="002B6ACF">
        <w:rPr>
          <w:rFonts w:asciiTheme="majorHAnsi" w:hAnsiTheme="majorHAnsi"/>
        </w:rPr>
        <w:t>s</w:t>
      </w:r>
      <w:r w:rsidRPr="002B6ACF">
        <w:rPr>
          <w:rFonts w:asciiTheme="majorHAnsi" w:hAnsiTheme="majorHAnsi"/>
        </w:rPr>
        <w:t xml:space="preserve"> by to regulating the disclosure of private funding information. This legislation, it was argued for several reasons, was required in </w:t>
      </w:r>
      <w:r w:rsidRPr="002B6ACF">
        <w:rPr>
          <w:rFonts w:asciiTheme="majorHAnsi" w:hAnsiTheme="majorHAnsi"/>
          <w:i/>
        </w:rPr>
        <w:t>addition</w:t>
      </w:r>
      <w:r w:rsidRPr="002B6ACF">
        <w:rPr>
          <w:rFonts w:asciiTheme="majorHAnsi" w:hAnsiTheme="majorHAnsi"/>
        </w:rPr>
        <w:t xml:space="preserve"> to </w:t>
      </w:r>
      <w:r w:rsidRPr="002B6ACF">
        <w:rPr>
          <w:rFonts w:asciiTheme="majorHAnsi" w:hAnsiTheme="majorHAnsi"/>
          <w:lang w:val="en-US"/>
        </w:rPr>
        <w:t>Promotion of Access to Information Act, 2000</w:t>
      </w:r>
      <w:r w:rsidR="009178D1" w:rsidRPr="002B6ACF">
        <w:rPr>
          <w:rFonts w:asciiTheme="majorHAnsi" w:hAnsiTheme="majorHAnsi"/>
          <w:lang w:val="en-US"/>
        </w:rPr>
        <w:t xml:space="preserve"> (‘</w:t>
      </w:r>
      <w:r w:rsidRPr="002B6ACF">
        <w:rPr>
          <w:rFonts w:asciiTheme="majorHAnsi" w:hAnsiTheme="majorHAnsi"/>
          <w:b/>
        </w:rPr>
        <w:t>PAIA</w:t>
      </w:r>
      <w:r w:rsidR="009178D1" w:rsidRPr="002B6ACF">
        <w:rPr>
          <w:rFonts w:asciiTheme="majorHAnsi" w:hAnsiTheme="majorHAnsi"/>
        </w:rPr>
        <w:t>’)</w:t>
      </w:r>
      <w:r w:rsidRPr="002B6ACF">
        <w:rPr>
          <w:rFonts w:asciiTheme="majorHAnsi" w:hAnsiTheme="majorHAnsi"/>
        </w:rPr>
        <w:t>.</w:t>
      </w:r>
    </w:p>
    <w:p w14:paraId="4EEE1A43" w14:textId="77777777" w:rsidR="003D7119" w:rsidRPr="002B6ACF" w:rsidRDefault="003D7119" w:rsidP="002B6ACF">
      <w:pPr>
        <w:pStyle w:val="WWList1"/>
        <w:spacing w:line="240" w:lineRule="auto"/>
        <w:rPr>
          <w:rFonts w:asciiTheme="majorHAnsi" w:hAnsiTheme="majorHAnsi"/>
        </w:rPr>
      </w:pPr>
      <w:r w:rsidRPr="002B6ACF">
        <w:rPr>
          <w:rFonts w:asciiTheme="majorHAnsi" w:hAnsiTheme="majorHAnsi"/>
        </w:rPr>
        <w:t xml:space="preserve">The majority of the Constitutional Court in </w:t>
      </w:r>
      <w:r w:rsidRPr="002B6ACF">
        <w:rPr>
          <w:rFonts w:asciiTheme="majorHAnsi" w:hAnsiTheme="majorHAnsi"/>
          <w:i/>
        </w:rPr>
        <w:t>My Vote Counts v Speaker of the National Assembly</w:t>
      </w:r>
      <w:r w:rsidRPr="002B6ACF">
        <w:rPr>
          <w:rFonts w:asciiTheme="majorHAnsi" w:hAnsiTheme="majorHAnsi"/>
        </w:rPr>
        <w:t xml:space="preserve"> [2015] ZACC 31 at 147-148 ("</w:t>
      </w:r>
      <w:r w:rsidRPr="002B6ACF">
        <w:rPr>
          <w:rFonts w:asciiTheme="majorHAnsi" w:hAnsiTheme="majorHAnsi"/>
          <w:b/>
          <w:i/>
        </w:rPr>
        <w:t>My Vote Counts</w:t>
      </w:r>
      <w:r w:rsidRPr="002B6ACF">
        <w:rPr>
          <w:rFonts w:asciiTheme="majorHAnsi" w:hAnsiTheme="majorHAnsi"/>
        </w:rPr>
        <w:t xml:space="preserve">") held that we </w:t>
      </w:r>
      <w:r w:rsidR="00CC40A8" w:rsidRPr="002B6ACF">
        <w:rPr>
          <w:rFonts w:asciiTheme="majorHAnsi" w:hAnsiTheme="majorHAnsi"/>
        </w:rPr>
        <w:t xml:space="preserve">were </w:t>
      </w:r>
      <w:r w:rsidRPr="002B6ACF">
        <w:rPr>
          <w:rFonts w:asciiTheme="majorHAnsi" w:hAnsiTheme="majorHAnsi"/>
        </w:rPr>
        <w:t xml:space="preserve">wrong on our constitutional interpretation. </w:t>
      </w:r>
    </w:p>
    <w:p w14:paraId="1F724912" w14:textId="77777777" w:rsidR="003D7119" w:rsidRPr="002B6ACF" w:rsidRDefault="003D7119" w:rsidP="002B6ACF">
      <w:pPr>
        <w:pStyle w:val="WWList1"/>
        <w:spacing w:line="240" w:lineRule="auto"/>
        <w:rPr>
          <w:rFonts w:asciiTheme="majorHAnsi" w:hAnsiTheme="majorHAnsi"/>
        </w:rPr>
      </w:pPr>
      <w:r w:rsidRPr="002B6ACF">
        <w:rPr>
          <w:rFonts w:asciiTheme="majorHAnsi" w:hAnsiTheme="majorHAnsi"/>
        </w:rPr>
        <w:t xml:space="preserve">The court held that PAIA </w:t>
      </w:r>
      <w:r w:rsidRPr="002B6ACF">
        <w:rPr>
          <w:rFonts w:asciiTheme="majorHAnsi" w:hAnsiTheme="majorHAnsi"/>
          <w:i/>
        </w:rPr>
        <w:t>is</w:t>
      </w:r>
      <w:r w:rsidRPr="002B6ACF">
        <w:rPr>
          <w:rFonts w:asciiTheme="majorHAnsi" w:hAnsiTheme="majorHAnsi"/>
        </w:rPr>
        <w:t xml:space="preserve"> the legislation envisaged in terms of section 32(2) of the Constitution, and it was intended </w:t>
      </w:r>
      <w:r w:rsidRPr="002B6ACF">
        <w:rPr>
          <w:rFonts w:asciiTheme="majorHAnsi" w:hAnsiTheme="majorHAnsi"/>
          <w:i/>
        </w:rPr>
        <w:t>fully</w:t>
      </w:r>
      <w:r w:rsidRPr="002B6ACF">
        <w:rPr>
          <w:rFonts w:asciiTheme="majorHAnsi" w:hAnsiTheme="majorHAnsi"/>
        </w:rPr>
        <w:t xml:space="preserve"> to give effect to the right of access to information. There was thus no constitutional obligation to create </w:t>
      </w:r>
      <w:r w:rsidRPr="002B6ACF">
        <w:rPr>
          <w:rFonts w:asciiTheme="majorHAnsi" w:hAnsiTheme="majorHAnsi"/>
          <w:i/>
        </w:rPr>
        <w:t>additional</w:t>
      </w:r>
      <w:r w:rsidRPr="002B6ACF">
        <w:rPr>
          <w:rFonts w:asciiTheme="majorHAnsi" w:hAnsiTheme="majorHAnsi"/>
        </w:rPr>
        <w:t xml:space="preserve"> legislation. In other words, PAIA is the legislation that gives effect to the constitutional oblig</w:t>
      </w:r>
      <w:r w:rsidR="009178D1" w:rsidRPr="002B6ACF">
        <w:rPr>
          <w:rFonts w:asciiTheme="majorHAnsi" w:hAnsiTheme="majorHAnsi"/>
        </w:rPr>
        <w:t xml:space="preserve">ation that exists in section 32, </w:t>
      </w:r>
      <w:r w:rsidRPr="002B6ACF">
        <w:rPr>
          <w:rFonts w:asciiTheme="majorHAnsi" w:hAnsiTheme="majorHAnsi"/>
        </w:rPr>
        <w:t xml:space="preserve">and </w:t>
      </w:r>
      <w:r w:rsidR="009178D1" w:rsidRPr="002B6ACF">
        <w:rPr>
          <w:rFonts w:asciiTheme="majorHAnsi" w:hAnsiTheme="majorHAnsi"/>
        </w:rPr>
        <w:t xml:space="preserve">that if </w:t>
      </w:r>
      <w:r w:rsidR="00FC43E6" w:rsidRPr="002B6ACF">
        <w:rPr>
          <w:rFonts w:asciiTheme="majorHAnsi" w:hAnsiTheme="majorHAnsi"/>
        </w:rPr>
        <w:t xml:space="preserve">MVC </w:t>
      </w:r>
      <w:r w:rsidRPr="002B6ACF">
        <w:rPr>
          <w:rFonts w:asciiTheme="majorHAnsi" w:hAnsiTheme="majorHAnsi"/>
        </w:rPr>
        <w:t>feel</w:t>
      </w:r>
      <w:r w:rsidR="00FC43E6" w:rsidRPr="002B6ACF">
        <w:rPr>
          <w:rFonts w:asciiTheme="majorHAnsi" w:hAnsiTheme="majorHAnsi"/>
        </w:rPr>
        <w:t>s</w:t>
      </w:r>
      <w:r w:rsidRPr="002B6ACF">
        <w:rPr>
          <w:rFonts w:asciiTheme="majorHAnsi" w:hAnsiTheme="majorHAnsi"/>
        </w:rPr>
        <w:t xml:space="preserve"> that </w:t>
      </w:r>
      <w:r w:rsidR="00CC40A8" w:rsidRPr="002B6ACF">
        <w:rPr>
          <w:rFonts w:asciiTheme="majorHAnsi" w:hAnsiTheme="majorHAnsi"/>
        </w:rPr>
        <w:t>citizens</w:t>
      </w:r>
      <w:r w:rsidRPr="002B6ACF">
        <w:rPr>
          <w:rFonts w:asciiTheme="majorHAnsi" w:hAnsiTheme="majorHAnsi"/>
        </w:rPr>
        <w:t xml:space="preserve"> cannot get the information</w:t>
      </w:r>
      <w:r w:rsidR="00FC43E6" w:rsidRPr="002B6ACF">
        <w:rPr>
          <w:rFonts w:asciiTheme="majorHAnsi" w:hAnsiTheme="majorHAnsi"/>
        </w:rPr>
        <w:t xml:space="preserve"> </w:t>
      </w:r>
      <w:r w:rsidR="00CC40A8" w:rsidRPr="002B6ACF">
        <w:rPr>
          <w:rFonts w:asciiTheme="majorHAnsi" w:hAnsiTheme="majorHAnsi"/>
        </w:rPr>
        <w:t>they</w:t>
      </w:r>
      <w:r w:rsidR="00FC43E6" w:rsidRPr="002B6ACF">
        <w:rPr>
          <w:rFonts w:asciiTheme="majorHAnsi" w:hAnsiTheme="majorHAnsi"/>
        </w:rPr>
        <w:t xml:space="preserve"> need to exercise </w:t>
      </w:r>
      <w:r w:rsidR="00CC40A8" w:rsidRPr="002B6ACF">
        <w:rPr>
          <w:rFonts w:asciiTheme="majorHAnsi" w:hAnsiTheme="majorHAnsi"/>
        </w:rPr>
        <w:t>their</w:t>
      </w:r>
      <w:r w:rsidR="00FC43E6" w:rsidRPr="002B6ACF">
        <w:rPr>
          <w:rFonts w:asciiTheme="majorHAnsi" w:hAnsiTheme="majorHAnsi"/>
        </w:rPr>
        <w:t xml:space="preserve"> rights, MVC</w:t>
      </w:r>
      <w:r w:rsidRPr="002B6ACF">
        <w:rPr>
          <w:rFonts w:asciiTheme="majorHAnsi" w:hAnsiTheme="majorHAnsi"/>
        </w:rPr>
        <w:t xml:space="preserve"> </w:t>
      </w:r>
      <w:r w:rsidR="00FC43E6" w:rsidRPr="002B6ACF">
        <w:rPr>
          <w:rFonts w:asciiTheme="majorHAnsi" w:hAnsiTheme="majorHAnsi"/>
        </w:rPr>
        <w:t>must</w:t>
      </w:r>
      <w:r w:rsidRPr="002B6ACF">
        <w:rPr>
          <w:rFonts w:asciiTheme="majorHAnsi" w:hAnsiTheme="majorHAnsi"/>
        </w:rPr>
        <w:t xml:space="preserve"> make a full frontal challenge </w:t>
      </w:r>
      <w:r w:rsidR="00FC43E6" w:rsidRPr="002B6ACF">
        <w:rPr>
          <w:rFonts w:asciiTheme="majorHAnsi" w:hAnsiTheme="majorHAnsi"/>
        </w:rPr>
        <w:t>to</w:t>
      </w:r>
      <w:r w:rsidRPr="002B6ACF">
        <w:rPr>
          <w:rFonts w:asciiTheme="majorHAnsi" w:hAnsiTheme="majorHAnsi"/>
        </w:rPr>
        <w:t xml:space="preserve"> PAIA itself.</w:t>
      </w:r>
    </w:p>
    <w:p w14:paraId="7E69EB03" w14:textId="2DE8C0DE" w:rsidR="00FC43E6" w:rsidRPr="002B6ACF" w:rsidRDefault="003D7119" w:rsidP="002B6ACF">
      <w:pPr>
        <w:pStyle w:val="WWHeading1"/>
        <w:spacing w:line="240" w:lineRule="auto"/>
        <w:rPr>
          <w:rFonts w:asciiTheme="majorHAnsi" w:hAnsiTheme="majorHAnsi"/>
        </w:rPr>
      </w:pPr>
      <w:r w:rsidRPr="002B6ACF">
        <w:rPr>
          <w:rFonts w:asciiTheme="majorHAnsi" w:hAnsiTheme="majorHAnsi"/>
        </w:rPr>
        <w:t xml:space="preserve">So </w:t>
      </w:r>
      <w:r w:rsidR="00EC25BB" w:rsidRPr="002B6ACF">
        <w:rPr>
          <w:rFonts w:asciiTheme="majorHAnsi" w:hAnsiTheme="majorHAnsi"/>
        </w:rPr>
        <w:t>that is</w:t>
      </w:r>
      <w:r w:rsidRPr="002B6ACF">
        <w:rPr>
          <w:rFonts w:asciiTheme="majorHAnsi" w:hAnsiTheme="majorHAnsi"/>
        </w:rPr>
        <w:t xml:space="preserve"> what MVC is doing</w:t>
      </w:r>
      <w:r w:rsidR="002B6ACF" w:rsidRPr="002B6ACF">
        <w:rPr>
          <w:rFonts w:asciiTheme="majorHAnsi" w:hAnsiTheme="majorHAnsi"/>
        </w:rPr>
        <w:t>?</w:t>
      </w:r>
    </w:p>
    <w:p w14:paraId="4069CA20" w14:textId="77777777" w:rsidR="003D7119" w:rsidRPr="002B6ACF" w:rsidRDefault="003D7119" w:rsidP="002B6ACF">
      <w:pPr>
        <w:pStyle w:val="WWList1"/>
        <w:spacing w:line="240" w:lineRule="auto"/>
        <w:rPr>
          <w:rFonts w:asciiTheme="majorHAnsi" w:hAnsiTheme="majorHAnsi"/>
        </w:rPr>
      </w:pPr>
      <w:r w:rsidRPr="002B6ACF">
        <w:rPr>
          <w:rFonts w:asciiTheme="majorHAnsi" w:hAnsiTheme="majorHAnsi"/>
          <w:lang w:val="en-US"/>
        </w:rPr>
        <w:t xml:space="preserve">MVC is applying to the Western High Court </w:t>
      </w:r>
      <w:r w:rsidR="00FC43E6" w:rsidRPr="002B6ACF">
        <w:rPr>
          <w:rFonts w:asciiTheme="majorHAnsi" w:hAnsiTheme="majorHAnsi"/>
        </w:rPr>
        <w:t xml:space="preserve">for an order in terms of section 172(1) of the Constitution declaring that </w:t>
      </w:r>
      <w:r w:rsidR="009178D1" w:rsidRPr="002B6ACF">
        <w:rPr>
          <w:rFonts w:asciiTheme="majorHAnsi" w:hAnsiTheme="majorHAnsi"/>
        </w:rPr>
        <w:t>PAIA</w:t>
      </w:r>
      <w:r w:rsidR="00FC43E6" w:rsidRPr="002B6ACF">
        <w:rPr>
          <w:rFonts w:asciiTheme="majorHAnsi" w:hAnsiTheme="majorHAnsi"/>
        </w:rPr>
        <w:t xml:space="preserve"> is invalid and unconstitutional insofar as and to the extent that it fails to make provision for the continuous and systematic recordal and disclosure of information regarding the private funding of political parties and independent ward candidates (the latter concept as contemplated in section 16 of the Local Government: Municipal Electoral Act, 2000</w:t>
      </w:r>
      <w:r w:rsidR="00FC43E6" w:rsidRPr="002B6ACF">
        <w:rPr>
          <w:rFonts w:asciiTheme="majorHAnsi" w:hAnsiTheme="majorHAnsi"/>
          <w:lang w:val="en-ZA"/>
        </w:rPr>
        <w:t>) ("</w:t>
      </w:r>
      <w:r w:rsidR="00FC43E6" w:rsidRPr="002B6ACF">
        <w:rPr>
          <w:rFonts w:asciiTheme="majorHAnsi" w:hAnsiTheme="majorHAnsi"/>
          <w:b/>
          <w:lang w:val="en-ZA"/>
        </w:rPr>
        <w:t>independent candidates</w:t>
      </w:r>
      <w:r w:rsidR="00FC43E6" w:rsidRPr="002B6ACF">
        <w:rPr>
          <w:rFonts w:asciiTheme="majorHAnsi" w:hAnsiTheme="majorHAnsi"/>
          <w:lang w:val="en-ZA"/>
        </w:rPr>
        <w:t>")</w:t>
      </w:r>
      <w:r w:rsidR="00FC43E6" w:rsidRPr="002B6ACF">
        <w:rPr>
          <w:rFonts w:asciiTheme="majorHAnsi" w:hAnsiTheme="majorHAnsi"/>
        </w:rPr>
        <w:t xml:space="preserve"> registered for elections for any legislative body established under the Constitution ("</w:t>
      </w:r>
      <w:r w:rsidR="00FC43E6" w:rsidRPr="002B6ACF">
        <w:rPr>
          <w:rFonts w:asciiTheme="majorHAnsi" w:hAnsiTheme="majorHAnsi"/>
          <w:b/>
        </w:rPr>
        <w:t>private funding information</w:t>
      </w:r>
      <w:r w:rsidR="00FC43E6" w:rsidRPr="002B6ACF">
        <w:rPr>
          <w:rFonts w:asciiTheme="majorHAnsi" w:hAnsiTheme="majorHAnsi"/>
        </w:rPr>
        <w:t>").</w:t>
      </w:r>
    </w:p>
    <w:p w14:paraId="357C072A" w14:textId="77777777" w:rsidR="00EC25BB" w:rsidRPr="002B6ACF" w:rsidRDefault="00EC25BB" w:rsidP="002B6ACF">
      <w:pPr>
        <w:pStyle w:val="WWList1"/>
        <w:spacing w:line="240" w:lineRule="auto"/>
        <w:ind w:left="567" w:hanging="567"/>
        <w:rPr>
          <w:rFonts w:asciiTheme="majorHAnsi" w:hAnsiTheme="majorHAnsi"/>
          <w:b/>
        </w:rPr>
      </w:pPr>
      <w:r w:rsidRPr="002B6ACF">
        <w:rPr>
          <w:rFonts w:asciiTheme="majorHAnsi" w:hAnsiTheme="majorHAnsi"/>
          <w:b/>
        </w:rPr>
        <w:t>WHAT ARE THE PROSPECTS OF SUCCESS</w:t>
      </w:r>
      <w:r w:rsidR="009E572D" w:rsidRPr="002B6ACF">
        <w:rPr>
          <w:rFonts w:asciiTheme="majorHAnsi" w:hAnsiTheme="majorHAnsi"/>
          <w:b/>
        </w:rPr>
        <w:t>?</w:t>
      </w:r>
    </w:p>
    <w:p w14:paraId="722BB26B" w14:textId="77777777" w:rsidR="00DF0A59" w:rsidRPr="002B6ACF" w:rsidRDefault="00DF0A59" w:rsidP="002B6ACF">
      <w:pPr>
        <w:pStyle w:val="WWList1"/>
        <w:spacing w:line="240" w:lineRule="auto"/>
        <w:rPr>
          <w:rFonts w:asciiTheme="majorHAnsi" w:hAnsiTheme="majorHAnsi"/>
        </w:rPr>
      </w:pPr>
      <w:r w:rsidRPr="002B6ACF">
        <w:rPr>
          <w:rFonts w:asciiTheme="majorHAnsi" w:hAnsiTheme="majorHAnsi"/>
        </w:rPr>
        <w:t>Are we correct in our assertion that PAIA is unconstitutional?</w:t>
      </w:r>
    </w:p>
    <w:p w14:paraId="11689CBF" w14:textId="77777777" w:rsidR="00DF0A59" w:rsidRPr="002B6ACF" w:rsidRDefault="00DF0A59" w:rsidP="002B6ACF">
      <w:pPr>
        <w:pStyle w:val="WWList1"/>
        <w:spacing w:line="240" w:lineRule="auto"/>
        <w:rPr>
          <w:rFonts w:asciiTheme="majorHAnsi" w:hAnsiTheme="majorHAnsi"/>
        </w:rPr>
      </w:pPr>
      <w:r w:rsidRPr="002B6ACF">
        <w:rPr>
          <w:rFonts w:asciiTheme="majorHAnsi" w:hAnsiTheme="majorHAnsi"/>
        </w:rPr>
        <w:t xml:space="preserve">The minority judgment </w:t>
      </w:r>
      <w:r w:rsidR="00FC43E6" w:rsidRPr="002B6ACF">
        <w:rPr>
          <w:rFonts w:asciiTheme="majorHAnsi" w:hAnsiTheme="majorHAnsi"/>
        </w:rPr>
        <w:t xml:space="preserve">in the </w:t>
      </w:r>
      <w:r w:rsidR="00701AF5" w:rsidRPr="002B6ACF">
        <w:rPr>
          <w:rFonts w:asciiTheme="majorHAnsi" w:hAnsiTheme="majorHAnsi"/>
          <w:i/>
        </w:rPr>
        <w:t>My Vote Counts</w:t>
      </w:r>
      <w:r w:rsidR="00FC43E6" w:rsidRPr="002B6ACF">
        <w:rPr>
          <w:rFonts w:asciiTheme="majorHAnsi" w:hAnsiTheme="majorHAnsi"/>
        </w:rPr>
        <w:t xml:space="preserve"> Judgment </w:t>
      </w:r>
      <w:r w:rsidR="00EC25BB" w:rsidRPr="002B6ACF">
        <w:rPr>
          <w:rFonts w:asciiTheme="majorHAnsi" w:hAnsiTheme="majorHAnsi"/>
        </w:rPr>
        <w:t>concluded</w:t>
      </w:r>
      <w:r w:rsidRPr="002B6ACF">
        <w:rPr>
          <w:rFonts w:asciiTheme="majorHAnsi" w:hAnsiTheme="majorHAnsi"/>
        </w:rPr>
        <w:t xml:space="preserve"> that information about political parties' private funding is </w:t>
      </w:r>
      <w:r w:rsidRPr="002B6ACF">
        <w:rPr>
          <w:rFonts w:asciiTheme="majorHAnsi" w:hAnsiTheme="majorHAnsi"/>
          <w:u w:val="single"/>
        </w:rPr>
        <w:t>required for the exercise of the right to vote</w:t>
      </w:r>
      <w:r w:rsidR="00FC43E6" w:rsidRPr="002B6ACF">
        <w:rPr>
          <w:rFonts w:asciiTheme="majorHAnsi" w:hAnsiTheme="majorHAnsi"/>
        </w:rPr>
        <w:t xml:space="preserve"> (at paragraph 43). </w:t>
      </w:r>
      <w:r w:rsidRPr="002B6ACF">
        <w:rPr>
          <w:rFonts w:asciiTheme="majorHAnsi" w:hAnsiTheme="majorHAnsi"/>
        </w:rPr>
        <w:t xml:space="preserve">This judgment, in reaching the stated conclusion, </w:t>
      </w:r>
      <w:r w:rsidR="00701AF5" w:rsidRPr="002B6ACF">
        <w:rPr>
          <w:rFonts w:asciiTheme="majorHAnsi" w:hAnsiTheme="majorHAnsi"/>
        </w:rPr>
        <w:t>commended on</w:t>
      </w:r>
      <w:r w:rsidRPr="002B6ACF">
        <w:rPr>
          <w:rFonts w:asciiTheme="majorHAnsi" w:hAnsiTheme="majorHAnsi"/>
        </w:rPr>
        <w:t xml:space="preserve"> the rich and fundamental nature of the right to vote as follows (at paragraphs 41-42):</w:t>
      </w:r>
    </w:p>
    <w:p w14:paraId="7552182F" w14:textId="77777777" w:rsidR="00EF4034" w:rsidRPr="002B6ACF" w:rsidRDefault="00DF0A59" w:rsidP="002B6ACF">
      <w:pPr>
        <w:pStyle w:val="WWBodyText2"/>
        <w:spacing w:line="240" w:lineRule="auto"/>
        <w:rPr>
          <w:rFonts w:asciiTheme="majorHAnsi" w:hAnsiTheme="majorHAnsi"/>
          <w:i/>
        </w:rPr>
      </w:pPr>
      <w:r w:rsidRPr="002B6ACF">
        <w:rPr>
          <w:rFonts w:asciiTheme="majorHAnsi" w:hAnsiTheme="majorHAnsi"/>
          <w:i/>
        </w:rPr>
        <w:t>So the right to vote does not exist in a vacuum. Nor does it consist merely of the entitlement to make a cross upon a ballot paper. It is neither meagre nor formalistic. It is a rich right – one to vote knowingly for a party and its principles and programmes. It is a right to vote for a political party, knowing how it will contribute to our constitutional democracy and the attainment of our constitutional goals. Does this include knowing the private sources of political parties’ funding? It surely does.</w:t>
      </w:r>
    </w:p>
    <w:p w14:paraId="6976CA3E" w14:textId="77777777" w:rsidR="00EC25BB" w:rsidRPr="002B6ACF" w:rsidRDefault="009178D1" w:rsidP="002B6ACF">
      <w:pPr>
        <w:pStyle w:val="WWList1"/>
        <w:spacing w:line="240" w:lineRule="auto"/>
        <w:rPr>
          <w:rFonts w:asciiTheme="majorHAnsi" w:hAnsiTheme="majorHAnsi"/>
        </w:rPr>
      </w:pPr>
      <w:r w:rsidRPr="002B6ACF">
        <w:rPr>
          <w:rFonts w:asciiTheme="majorHAnsi" w:hAnsiTheme="majorHAnsi"/>
        </w:rPr>
        <w:lastRenderedPageBreak/>
        <w:t xml:space="preserve">It is important to understand that the merits of </w:t>
      </w:r>
      <w:r w:rsidR="00CC40A8" w:rsidRPr="002B6ACF">
        <w:rPr>
          <w:rFonts w:asciiTheme="majorHAnsi" w:hAnsiTheme="majorHAnsi"/>
        </w:rPr>
        <w:t>MVC’s</w:t>
      </w:r>
      <w:r w:rsidRPr="002B6ACF">
        <w:rPr>
          <w:rFonts w:asciiTheme="majorHAnsi" w:hAnsiTheme="majorHAnsi"/>
        </w:rPr>
        <w:t xml:space="preserve"> arguments were not considered by the majority of the Constitutional Court because </w:t>
      </w:r>
      <w:r w:rsidR="00CC40A8" w:rsidRPr="002B6ACF">
        <w:rPr>
          <w:rFonts w:asciiTheme="majorHAnsi" w:hAnsiTheme="majorHAnsi"/>
        </w:rPr>
        <w:t>it</w:t>
      </w:r>
      <w:r w:rsidRPr="002B6ACF">
        <w:rPr>
          <w:rFonts w:asciiTheme="majorHAnsi" w:hAnsiTheme="majorHAnsi"/>
        </w:rPr>
        <w:t xml:space="preserve"> held that we had come to the</w:t>
      </w:r>
      <w:r w:rsidR="00CC40A8" w:rsidRPr="002B6ACF">
        <w:rPr>
          <w:rFonts w:asciiTheme="majorHAnsi" w:hAnsiTheme="majorHAnsi"/>
        </w:rPr>
        <w:t xml:space="preserve"> wrong court. </w:t>
      </w:r>
    </w:p>
    <w:p w14:paraId="0D39A071" w14:textId="77777777" w:rsidR="00FC43E6" w:rsidRPr="002B6ACF" w:rsidRDefault="00D613E2" w:rsidP="002B6ACF">
      <w:pPr>
        <w:pStyle w:val="WWList1"/>
        <w:spacing w:line="240" w:lineRule="auto"/>
        <w:rPr>
          <w:rFonts w:asciiTheme="majorHAnsi" w:hAnsiTheme="majorHAnsi"/>
        </w:rPr>
      </w:pPr>
      <w:r w:rsidRPr="002B6ACF">
        <w:rPr>
          <w:rFonts w:asciiTheme="majorHAnsi" w:hAnsiTheme="majorHAnsi"/>
        </w:rPr>
        <w:t xml:space="preserve">We </w:t>
      </w:r>
      <w:r w:rsidR="00FC43E6" w:rsidRPr="002B6ACF">
        <w:rPr>
          <w:rFonts w:asciiTheme="majorHAnsi" w:hAnsiTheme="majorHAnsi"/>
        </w:rPr>
        <w:t xml:space="preserve">therefore demonstrate </w:t>
      </w:r>
      <w:r w:rsidR="00CC40A8" w:rsidRPr="002B6ACF">
        <w:rPr>
          <w:rFonts w:asciiTheme="majorHAnsi" w:hAnsiTheme="majorHAnsi"/>
        </w:rPr>
        <w:t xml:space="preserve">in our papers </w:t>
      </w:r>
      <w:r w:rsidRPr="002B6ACF">
        <w:rPr>
          <w:rFonts w:asciiTheme="majorHAnsi" w:hAnsiTheme="majorHAnsi"/>
        </w:rPr>
        <w:t xml:space="preserve">that PAIA is woefully inadequate in respect of providing access to private funding information and does not allow for the continuous and systematic recordal and disclosure of such information to the electorate. </w:t>
      </w:r>
    </w:p>
    <w:p w14:paraId="76CCC273" w14:textId="77777777" w:rsidR="00EC25BB" w:rsidRPr="002B6ACF" w:rsidRDefault="00164722" w:rsidP="002B6ACF">
      <w:pPr>
        <w:pStyle w:val="WWList1"/>
        <w:spacing w:line="240" w:lineRule="auto"/>
        <w:ind w:left="567" w:hanging="567"/>
        <w:rPr>
          <w:rFonts w:asciiTheme="majorHAnsi" w:hAnsiTheme="majorHAnsi"/>
          <w:b/>
        </w:rPr>
      </w:pPr>
      <w:r w:rsidRPr="002B6ACF">
        <w:rPr>
          <w:rFonts w:asciiTheme="majorHAnsi" w:hAnsiTheme="majorHAnsi"/>
          <w:b/>
        </w:rPr>
        <w:t>HOW IS PAIA INADEQUATE?</w:t>
      </w:r>
    </w:p>
    <w:p w14:paraId="284CA6D9" w14:textId="77777777" w:rsidR="009E572D" w:rsidRPr="002B6ACF" w:rsidRDefault="009E572D" w:rsidP="002B6ACF">
      <w:pPr>
        <w:pStyle w:val="WWList1"/>
        <w:spacing w:line="240" w:lineRule="auto"/>
        <w:rPr>
          <w:rFonts w:asciiTheme="majorHAnsi" w:hAnsiTheme="majorHAnsi"/>
        </w:rPr>
      </w:pPr>
      <w:r w:rsidRPr="002B6ACF">
        <w:rPr>
          <w:rFonts w:asciiTheme="majorHAnsi" w:hAnsiTheme="majorHAnsi"/>
          <w:lang w:val="en-US"/>
        </w:rPr>
        <w:t>PAIA is not capable of affording the electoral citizenry the information to which they are entitled about the way political parties vying for their votes are funded.  That is a context with unique demands, to which PAIA does not address itself. </w:t>
      </w:r>
    </w:p>
    <w:p w14:paraId="1FA98A0E" w14:textId="77777777" w:rsidR="00DF0A59" w:rsidRPr="002B6ACF" w:rsidRDefault="00DF0A59" w:rsidP="002B6ACF">
      <w:pPr>
        <w:pStyle w:val="WWList1"/>
        <w:spacing w:line="240" w:lineRule="auto"/>
        <w:rPr>
          <w:rFonts w:asciiTheme="majorHAnsi" w:hAnsiTheme="majorHAnsi"/>
        </w:rPr>
      </w:pPr>
      <w:r w:rsidRPr="002B6ACF">
        <w:rPr>
          <w:rFonts w:asciiTheme="majorHAnsi" w:hAnsiTheme="majorHAnsi"/>
        </w:rPr>
        <w:t xml:space="preserve">In brief, PAIA's shortfalls </w:t>
      </w:r>
      <w:r w:rsidR="009E572D" w:rsidRPr="002B6ACF">
        <w:rPr>
          <w:rFonts w:asciiTheme="majorHAnsi" w:hAnsiTheme="majorHAnsi"/>
        </w:rPr>
        <w:t>include the following</w:t>
      </w:r>
      <w:r w:rsidRPr="002B6ACF">
        <w:rPr>
          <w:rFonts w:asciiTheme="majorHAnsi" w:hAnsiTheme="majorHAnsi"/>
        </w:rPr>
        <w:t>:</w:t>
      </w:r>
    </w:p>
    <w:p w14:paraId="46220FE8" w14:textId="77777777" w:rsidR="00387930" w:rsidRPr="002B6ACF" w:rsidRDefault="00387930" w:rsidP="002B6ACF">
      <w:pPr>
        <w:pStyle w:val="WWList2"/>
        <w:numPr>
          <w:ilvl w:val="1"/>
          <w:numId w:val="4"/>
        </w:numPr>
        <w:spacing w:line="240" w:lineRule="auto"/>
        <w:rPr>
          <w:rFonts w:asciiTheme="majorHAnsi" w:hAnsiTheme="majorHAnsi"/>
        </w:rPr>
      </w:pPr>
      <w:r w:rsidRPr="002B6ACF">
        <w:rPr>
          <w:rFonts w:asciiTheme="majorHAnsi" w:hAnsiTheme="majorHAnsi"/>
        </w:rPr>
        <w:t>disclosure under PAIA is not automatic and is triggered only once a request has been made for information;</w:t>
      </w:r>
    </w:p>
    <w:p w14:paraId="23C90270" w14:textId="77777777" w:rsidR="00387930" w:rsidRPr="002B6ACF" w:rsidRDefault="00387930" w:rsidP="002B6ACF">
      <w:pPr>
        <w:pStyle w:val="WWList2"/>
        <w:numPr>
          <w:ilvl w:val="1"/>
          <w:numId w:val="4"/>
        </w:numPr>
        <w:spacing w:line="240" w:lineRule="auto"/>
        <w:rPr>
          <w:rFonts w:asciiTheme="majorHAnsi" w:hAnsiTheme="majorHAnsi"/>
        </w:rPr>
      </w:pPr>
      <w:r w:rsidRPr="002B6ACF">
        <w:rPr>
          <w:rFonts w:asciiTheme="majorHAnsi" w:hAnsiTheme="majorHAnsi"/>
        </w:rPr>
        <w:t>disclosures are, at best, limited to the specific information requested at the specific time by a requester;</w:t>
      </w:r>
    </w:p>
    <w:p w14:paraId="716F3D47" w14:textId="77777777" w:rsidR="00387930" w:rsidRPr="002B6ACF" w:rsidRDefault="00387930" w:rsidP="002B6ACF">
      <w:pPr>
        <w:pStyle w:val="WWList2"/>
        <w:numPr>
          <w:ilvl w:val="1"/>
          <w:numId w:val="4"/>
        </w:numPr>
        <w:spacing w:line="240" w:lineRule="auto"/>
        <w:rPr>
          <w:rFonts w:asciiTheme="majorHAnsi" w:hAnsiTheme="majorHAnsi"/>
        </w:rPr>
      </w:pPr>
      <w:r w:rsidRPr="002B6ACF">
        <w:rPr>
          <w:rFonts w:asciiTheme="majorHAnsi" w:hAnsiTheme="majorHAnsi"/>
        </w:rPr>
        <w:t>only existing records of information are accessible under PAIA, rather than information generally;</w:t>
      </w:r>
    </w:p>
    <w:p w14:paraId="538ECEA5" w14:textId="77777777" w:rsidR="00387930" w:rsidRPr="002B6ACF" w:rsidRDefault="00387930" w:rsidP="002B6ACF">
      <w:pPr>
        <w:pStyle w:val="WWList2"/>
        <w:numPr>
          <w:ilvl w:val="1"/>
          <w:numId w:val="4"/>
        </w:numPr>
        <w:spacing w:line="240" w:lineRule="auto"/>
        <w:rPr>
          <w:rFonts w:asciiTheme="majorHAnsi" w:hAnsiTheme="majorHAnsi"/>
        </w:rPr>
      </w:pPr>
      <w:r w:rsidRPr="002B6ACF">
        <w:rPr>
          <w:rFonts w:asciiTheme="majorHAnsi" w:hAnsiTheme="majorHAnsi"/>
        </w:rPr>
        <w:t>there is no obligation to create records of private funding information;</w:t>
      </w:r>
    </w:p>
    <w:p w14:paraId="289A618A" w14:textId="77777777" w:rsidR="00387930" w:rsidRPr="002B6ACF" w:rsidRDefault="00387930" w:rsidP="002B6ACF">
      <w:pPr>
        <w:pStyle w:val="WWList2"/>
        <w:numPr>
          <w:ilvl w:val="1"/>
          <w:numId w:val="4"/>
        </w:numPr>
        <w:spacing w:line="240" w:lineRule="auto"/>
        <w:rPr>
          <w:rFonts w:asciiTheme="majorHAnsi" w:hAnsiTheme="majorHAnsi"/>
        </w:rPr>
      </w:pPr>
      <w:r w:rsidRPr="002B6ACF">
        <w:rPr>
          <w:rFonts w:asciiTheme="majorHAnsi" w:hAnsiTheme="majorHAnsi"/>
        </w:rPr>
        <w:t>there is no obligation to ensure continuous disclosure of private funding information in respect of political parties;</w:t>
      </w:r>
    </w:p>
    <w:p w14:paraId="459CBD8E" w14:textId="77777777" w:rsidR="00387930" w:rsidRPr="002B6ACF" w:rsidRDefault="00387930" w:rsidP="002B6ACF">
      <w:pPr>
        <w:pStyle w:val="WWList2"/>
        <w:numPr>
          <w:ilvl w:val="1"/>
          <w:numId w:val="4"/>
        </w:numPr>
        <w:spacing w:line="240" w:lineRule="auto"/>
        <w:rPr>
          <w:rFonts w:asciiTheme="majorHAnsi" w:hAnsiTheme="majorHAnsi"/>
        </w:rPr>
      </w:pPr>
      <w:r w:rsidRPr="002B6ACF">
        <w:rPr>
          <w:rFonts w:asciiTheme="majorHAnsi" w:hAnsiTheme="majorHAnsi"/>
        </w:rPr>
        <w:t>there is no obligation to maintain records of private funding information or penalties for their destruction; and</w:t>
      </w:r>
    </w:p>
    <w:p w14:paraId="2920C2EF" w14:textId="77777777" w:rsidR="00387930" w:rsidRPr="002B6ACF" w:rsidRDefault="00387930" w:rsidP="002B6ACF">
      <w:pPr>
        <w:pStyle w:val="WWList2"/>
        <w:numPr>
          <w:ilvl w:val="1"/>
          <w:numId w:val="4"/>
        </w:numPr>
        <w:spacing w:line="240" w:lineRule="auto"/>
        <w:rPr>
          <w:rFonts w:asciiTheme="majorHAnsi" w:hAnsiTheme="majorHAnsi"/>
        </w:rPr>
      </w:pPr>
      <w:r w:rsidRPr="002B6ACF">
        <w:rPr>
          <w:rFonts w:asciiTheme="majorHAnsi" w:hAnsiTheme="majorHAnsi"/>
        </w:rPr>
        <w:t>there are a number of grounds on which access to records may be refused, which are inconsistent with the Constitution in respect of the disclosure of private funding information.</w:t>
      </w:r>
    </w:p>
    <w:p w14:paraId="68E31633" w14:textId="77777777" w:rsidR="00387930" w:rsidRPr="002B6ACF" w:rsidRDefault="00DF0A59" w:rsidP="002B6ACF">
      <w:pPr>
        <w:pStyle w:val="WWList1"/>
        <w:spacing w:line="240" w:lineRule="auto"/>
        <w:rPr>
          <w:rFonts w:asciiTheme="majorHAnsi" w:hAnsiTheme="majorHAnsi"/>
        </w:rPr>
      </w:pPr>
      <w:r w:rsidRPr="002B6ACF">
        <w:rPr>
          <w:rFonts w:asciiTheme="majorHAnsi" w:hAnsiTheme="majorHAnsi"/>
        </w:rPr>
        <w:t xml:space="preserve">Information that is unrecorded, such as oral communications, and information which can only be gained through access and greater transparency, such as by allowing the physical presence of observers to witness certain meetings, is not accessible under PAIA.  </w:t>
      </w:r>
    </w:p>
    <w:p w14:paraId="6AD79863" w14:textId="77777777" w:rsidR="00DF0A59" w:rsidRPr="002B6ACF" w:rsidRDefault="00DF0A59" w:rsidP="002B6ACF">
      <w:pPr>
        <w:pStyle w:val="WWList1"/>
        <w:spacing w:line="240" w:lineRule="auto"/>
        <w:rPr>
          <w:rFonts w:asciiTheme="majorHAnsi" w:hAnsiTheme="majorHAnsi"/>
        </w:rPr>
      </w:pPr>
      <w:r w:rsidRPr="002B6ACF">
        <w:rPr>
          <w:rFonts w:asciiTheme="majorHAnsi" w:hAnsiTheme="majorHAnsi"/>
        </w:rPr>
        <w:t>This mean</w:t>
      </w:r>
      <w:r w:rsidR="00387930" w:rsidRPr="002B6ACF">
        <w:rPr>
          <w:rFonts w:asciiTheme="majorHAnsi" w:hAnsiTheme="majorHAnsi"/>
        </w:rPr>
        <w:t>s</w:t>
      </w:r>
      <w:r w:rsidRPr="002B6ACF">
        <w:rPr>
          <w:rFonts w:asciiTheme="majorHAnsi" w:hAnsiTheme="majorHAnsi"/>
        </w:rPr>
        <w:t xml:space="preserve"> the complete loss of, </w:t>
      </w:r>
      <w:r w:rsidRPr="002B6ACF">
        <w:rPr>
          <w:rFonts w:asciiTheme="majorHAnsi" w:hAnsiTheme="majorHAnsi"/>
          <w:i/>
        </w:rPr>
        <w:t>inter alia</w:t>
      </w:r>
      <w:r w:rsidRPr="002B6ACF">
        <w:rPr>
          <w:rFonts w:asciiTheme="majorHAnsi" w:hAnsiTheme="majorHAnsi"/>
        </w:rPr>
        <w:t>, the following forms of information:</w:t>
      </w:r>
    </w:p>
    <w:p w14:paraId="6BFE0373" w14:textId="77777777" w:rsidR="00DF0A59" w:rsidRPr="002B6ACF" w:rsidRDefault="00DF0A59" w:rsidP="002B6ACF">
      <w:pPr>
        <w:pStyle w:val="WWList2"/>
        <w:numPr>
          <w:ilvl w:val="1"/>
          <w:numId w:val="1"/>
        </w:numPr>
        <w:spacing w:line="240" w:lineRule="auto"/>
        <w:rPr>
          <w:rFonts w:asciiTheme="majorHAnsi" w:hAnsiTheme="majorHAnsi"/>
        </w:rPr>
      </w:pPr>
      <w:r w:rsidRPr="002B6ACF">
        <w:rPr>
          <w:rFonts w:asciiTheme="majorHAnsi" w:hAnsiTheme="majorHAnsi"/>
        </w:rPr>
        <w:t>phone conversations and other verbal communications between political parties and funders;</w:t>
      </w:r>
    </w:p>
    <w:p w14:paraId="0AD74BCA" w14:textId="77777777" w:rsidR="00DF0A59" w:rsidRPr="002B6ACF" w:rsidRDefault="00DF0A59" w:rsidP="002B6ACF">
      <w:pPr>
        <w:pStyle w:val="WWList2"/>
        <w:numPr>
          <w:ilvl w:val="1"/>
          <w:numId w:val="1"/>
        </w:numPr>
        <w:spacing w:line="240" w:lineRule="auto"/>
        <w:rPr>
          <w:rFonts w:asciiTheme="majorHAnsi" w:hAnsiTheme="majorHAnsi"/>
        </w:rPr>
      </w:pPr>
      <w:r w:rsidRPr="002B6ACF">
        <w:rPr>
          <w:rFonts w:asciiTheme="majorHAnsi" w:hAnsiTheme="majorHAnsi"/>
        </w:rPr>
        <w:lastRenderedPageBreak/>
        <w:t>identity and source of funds received from donors, no matter the size or provenance of the donation, to the extent that these are not reflected in the receiving bank's records;</w:t>
      </w:r>
    </w:p>
    <w:p w14:paraId="0083455A" w14:textId="77777777" w:rsidR="00DF0A59" w:rsidRPr="002B6ACF" w:rsidRDefault="00DF0A59" w:rsidP="002B6ACF">
      <w:pPr>
        <w:pStyle w:val="WWList2"/>
        <w:numPr>
          <w:ilvl w:val="1"/>
          <w:numId w:val="1"/>
        </w:numPr>
        <w:spacing w:line="240" w:lineRule="auto"/>
        <w:rPr>
          <w:rFonts w:asciiTheme="majorHAnsi" w:hAnsiTheme="majorHAnsi"/>
        </w:rPr>
      </w:pPr>
      <w:r w:rsidRPr="002B6ACF">
        <w:rPr>
          <w:rFonts w:asciiTheme="majorHAnsi" w:hAnsiTheme="majorHAnsi"/>
        </w:rPr>
        <w:t>discussions at formal and informal meetings held with funders;</w:t>
      </w:r>
    </w:p>
    <w:p w14:paraId="47082D51" w14:textId="77777777" w:rsidR="00DF0A59" w:rsidRPr="002B6ACF" w:rsidRDefault="00DF0A59" w:rsidP="002B6ACF">
      <w:pPr>
        <w:pStyle w:val="WWList2"/>
        <w:numPr>
          <w:ilvl w:val="1"/>
          <w:numId w:val="1"/>
        </w:numPr>
        <w:spacing w:line="240" w:lineRule="auto"/>
        <w:rPr>
          <w:rFonts w:asciiTheme="majorHAnsi" w:hAnsiTheme="majorHAnsi"/>
        </w:rPr>
      </w:pPr>
      <w:r w:rsidRPr="002B6ACF">
        <w:rPr>
          <w:rFonts w:asciiTheme="majorHAnsi" w:hAnsiTheme="majorHAnsi"/>
        </w:rPr>
        <w:t>internal party discussions regarding funders;</w:t>
      </w:r>
    </w:p>
    <w:p w14:paraId="1FBF48EE" w14:textId="77777777" w:rsidR="00DF0A59" w:rsidRPr="002B6ACF" w:rsidRDefault="00DF0A59" w:rsidP="002B6ACF">
      <w:pPr>
        <w:pStyle w:val="WWList2"/>
        <w:numPr>
          <w:ilvl w:val="1"/>
          <w:numId w:val="1"/>
        </w:numPr>
        <w:spacing w:line="240" w:lineRule="auto"/>
        <w:rPr>
          <w:rFonts w:asciiTheme="majorHAnsi" w:hAnsiTheme="majorHAnsi"/>
        </w:rPr>
      </w:pPr>
      <w:r w:rsidRPr="002B6ACF">
        <w:rPr>
          <w:rFonts w:asciiTheme="majorHAnsi" w:hAnsiTheme="majorHAnsi"/>
        </w:rPr>
        <w:t>the creation and cancellation of oral agreements between political parties and funders to provide funding; and</w:t>
      </w:r>
    </w:p>
    <w:p w14:paraId="085DA2DD" w14:textId="77777777" w:rsidR="00DF0A59" w:rsidRPr="002B6ACF" w:rsidRDefault="00DF0A59" w:rsidP="002B6ACF">
      <w:pPr>
        <w:pStyle w:val="WWList2"/>
        <w:numPr>
          <w:ilvl w:val="1"/>
          <w:numId w:val="1"/>
        </w:numPr>
        <w:spacing w:line="240" w:lineRule="auto"/>
        <w:rPr>
          <w:rFonts w:asciiTheme="majorHAnsi" w:hAnsiTheme="majorHAnsi"/>
        </w:rPr>
      </w:pPr>
      <w:r w:rsidRPr="002B6ACF">
        <w:rPr>
          <w:rFonts w:asciiTheme="majorHAnsi" w:hAnsiTheme="majorHAnsi"/>
        </w:rPr>
        <w:t>"</w:t>
      </w:r>
      <w:r w:rsidRPr="002B6ACF">
        <w:rPr>
          <w:rFonts w:asciiTheme="majorHAnsi" w:hAnsiTheme="majorHAnsi"/>
          <w:i/>
        </w:rPr>
        <w:t>cold calls</w:t>
      </w:r>
      <w:r w:rsidRPr="002B6ACF">
        <w:rPr>
          <w:rFonts w:asciiTheme="majorHAnsi" w:hAnsiTheme="majorHAnsi"/>
        </w:rPr>
        <w:t>" and other unrecorded approaches made by political parties to obtain funding.</w:t>
      </w:r>
    </w:p>
    <w:p w14:paraId="0B3DA7F1" w14:textId="77777777" w:rsidR="00387930" w:rsidRPr="002B6ACF" w:rsidRDefault="00387930" w:rsidP="002B6ACF">
      <w:pPr>
        <w:pStyle w:val="WWList1"/>
        <w:spacing w:line="240" w:lineRule="auto"/>
        <w:rPr>
          <w:rFonts w:asciiTheme="majorHAnsi" w:hAnsiTheme="majorHAnsi"/>
        </w:rPr>
      </w:pPr>
      <w:r w:rsidRPr="002B6ACF">
        <w:rPr>
          <w:rFonts w:asciiTheme="majorHAnsi" w:hAnsiTheme="majorHAnsi"/>
        </w:rPr>
        <w:t xml:space="preserve">At a fundamental level, PAIA also only gives access to records that are held by public or private bodies, and nothing in between.  </w:t>
      </w:r>
    </w:p>
    <w:p w14:paraId="5760901B" w14:textId="77777777" w:rsidR="00FC43E6" w:rsidRPr="002B6ACF" w:rsidRDefault="00DF0A59" w:rsidP="002B6ACF">
      <w:pPr>
        <w:pStyle w:val="WWList1"/>
        <w:spacing w:line="240" w:lineRule="auto"/>
        <w:rPr>
          <w:rFonts w:asciiTheme="majorHAnsi" w:hAnsiTheme="majorHAnsi"/>
        </w:rPr>
      </w:pPr>
      <w:r w:rsidRPr="002B6ACF">
        <w:rPr>
          <w:rFonts w:asciiTheme="majorHAnsi" w:hAnsiTheme="majorHAnsi"/>
        </w:rPr>
        <w:t>There is furthermore no provision in PAIA</w:t>
      </w:r>
      <w:r w:rsidR="0098148B" w:rsidRPr="002B6ACF">
        <w:rPr>
          <w:rFonts w:asciiTheme="majorHAnsi" w:hAnsiTheme="majorHAnsi"/>
        </w:rPr>
        <w:t>,</w:t>
      </w:r>
      <w:r w:rsidRPr="002B6ACF">
        <w:rPr>
          <w:rFonts w:asciiTheme="majorHAnsi" w:hAnsiTheme="majorHAnsi"/>
        </w:rPr>
        <w:t xml:space="preserve"> which would allow access to information from foreign donors</w:t>
      </w:r>
      <w:r w:rsidR="00FC43E6" w:rsidRPr="002B6ACF">
        <w:rPr>
          <w:rFonts w:asciiTheme="majorHAnsi" w:hAnsiTheme="majorHAnsi"/>
        </w:rPr>
        <w:t>.</w:t>
      </w:r>
      <w:r w:rsidRPr="002B6ACF">
        <w:rPr>
          <w:rFonts w:asciiTheme="majorHAnsi" w:hAnsiTheme="majorHAnsi"/>
        </w:rPr>
        <w:t xml:space="preserve"> </w:t>
      </w:r>
    </w:p>
    <w:p w14:paraId="2E85478F" w14:textId="77777777" w:rsidR="00701AF5" w:rsidRPr="002B6ACF" w:rsidRDefault="00164722" w:rsidP="002B6ACF">
      <w:pPr>
        <w:pStyle w:val="WWList1"/>
        <w:spacing w:line="240" w:lineRule="auto"/>
        <w:rPr>
          <w:rFonts w:asciiTheme="majorHAnsi" w:hAnsiTheme="majorHAnsi"/>
          <w:b/>
        </w:rPr>
      </w:pPr>
      <w:r w:rsidRPr="002B6ACF">
        <w:rPr>
          <w:rFonts w:asciiTheme="majorHAnsi" w:hAnsiTheme="majorHAnsi"/>
          <w:b/>
        </w:rPr>
        <w:t xml:space="preserve">CONCLUSION </w:t>
      </w:r>
    </w:p>
    <w:p w14:paraId="4A16F411" w14:textId="77777777" w:rsidR="00701AF5" w:rsidRPr="002B6ACF" w:rsidRDefault="00701AF5" w:rsidP="002B6ACF">
      <w:pPr>
        <w:pStyle w:val="WWList1"/>
        <w:spacing w:line="240" w:lineRule="auto"/>
        <w:rPr>
          <w:rFonts w:asciiTheme="majorHAnsi" w:hAnsiTheme="majorHAnsi"/>
          <w:lang w:val="en-US"/>
        </w:rPr>
      </w:pPr>
      <w:r w:rsidRPr="002B6ACF">
        <w:rPr>
          <w:rFonts w:asciiTheme="majorHAnsi" w:hAnsiTheme="majorHAnsi"/>
          <w:lang w:val="en-US"/>
        </w:rPr>
        <w:t>On 31 May and 1 June 2016, MVC submitted various "request for information" forms ("</w:t>
      </w:r>
      <w:r w:rsidRPr="002B6ACF">
        <w:rPr>
          <w:rFonts w:asciiTheme="majorHAnsi" w:hAnsiTheme="majorHAnsi"/>
          <w:b/>
          <w:lang w:val="en-US"/>
        </w:rPr>
        <w:t>the 2016 PAIA requests</w:t>
      </w:r>
      <w:r w:rsidRPr="002B6ACF">
        <w:rPr>
          <w:rFonts w:asciiTheme="majorHAnsi" w:hAnsiTheme="majorHAnsi"/>
          <w:lang w:val="en-US"/>
        </w:rPr>
        <w:t xml:space="preserve">") to the various political parties currently represented in Parliament under section 53(1) of the PAIA.  </w:t>
      </w:r>
    </w:p>
    <w:p w14:paraId="6D9E1613" w14:textId="77777777" w:rsidR="00701AF5" w:rsidRPr="002B6ACF" w:rsidRDefault="00701AF5" w:rsidP="002B6ACF">
      <w:pPr>
        <w:pStyle w:val="WWList1"/>
        <w:spacing w:line="240" w:lineRule="auto"/>
        <w:rPr>
          <w:rFonts w:asciiTheme="majorHAnsi" w:hAnsiTheme="majorHAnsi"/>
          <w:b/>
          <w:u w:val="single"/>
        </w:rPr>
      </w:pPr>
      <w:r w:rsidRPr="002B6ACF">
        <w:rPr>
          <w:rFonts w:asciiTheme="majorHAnsi" w:hAnsiTheme="majorHAnsi"/>
        </w:rPr>
        <w:t xml:space="preserve">The 2016 PAIA requests requested each political party to furnish the applicant with, </w:t>
      </w:r>
      <w:r w:rsidRPr="002B6ACF">
        <w:rPr>
          <w:rFonts w:asciiTheme="majorHAnsi" w:hAnsiTheme="majorHAnsi"/>
          <w:i/>
        </w:rPr>
        <w:t>inter alia</w:t>
      </w:r>
      <w:r w:rsidRPr="002B6ACF">
        <w:rPr>
          <w:rFonts w:asciiTheme="majorHAnsi" w:hAnsiTheme="majorHAnsi"/>
        </w:rPr>
        <w:t xml:space="preserve">, a full record of all monetary donations received from private sources, including individual persons (local and foreign), companies (local and foreign), and foreign governments. The abovementioned information had to account for the previous five years and include the following particularity: (i) the date on which the funds were received; (ii) the amount received; (iii) the name of the funder; and (iv) whether there were any conditions attached to the donations and, if there were, to specify what they were. </w:t>
      </w:r>
    </w:p>
    <w:p w14:paraId="64C1D84D" w14:textId="77777777" w:rsidR="00164722" w:rsidRPr="002B6ACF" w:rsidRDefault="00701AF5" w:rsidP="002B6ACF">
      <w:pPr>
        <w:pStyle w:val="WWList1"/>
        <w:spacing w:line="240" w:lineRule="auto"/>
        <w:rPr>
          <w:rFonts w:asciiTheme="majorHAnsi" w:hAnsiTheme="majorHAnsi"/>
        </w:rPr>
      </w:pPr>
      <w:r w:rsidRPr="002B6ACF">
        <w:rPr>
          <w:rFonts w:asciiTheme="majorHAnsi" w:hAnsiTheme="majorHAnsi"/>
        </w:rPr>
        <w:t xml:space="preserve">The statutory deadline for the relevant political parties to respond to the 2016 PAIA requests was 1 July 2016. </w:t>
      </w:r>
    </w:p>
    <w:p w14:paraId="7B93F67C" w14:textId="77777777" w:rsidR="00CC40A8" w:rsidRPr="002B6ACF" w:rsidRDefault="00701AF5" w:rsidP="002B6ACF">
      <w:pPr>
        <w:pStyle w:val="WWList1"/>
        <w:spacing w:line="240" w:lineRule="auto"/>
        <w:rPr>
          <w:rFonts w:asciiTheme="majorHAnsi" w:hAnsiTheme="majorHAnsi"/>
        </w:rPr>
      </w:pPr>
      <w:r w:rsidRPr="002B6ACF">
        <w:rPr>
          <w:rFonts w:asciiTheme="majorHAnsi" w:hAnsiTheme="majorHAnsi"/>
          <w:lang w:val="en-US"/>
        </w:rPr>
        <w:t xml:space="preserve">Every single party refused to provide any of the information sought in the 2016 PAIA requests.  </w:t>
      </w:r>
    </w:p>
    <w:p w14:paraId="7663DE31" w14:textId="77777777" w:rsidR="00164722" w:rsidRPr="002B6ACF" w:rsidRDefault="00164722" w:rsidP="002B6ACF">
      <w:pPr>
        <w:pStyle w:val="WWList1"/>
        <w:spacing w:line="240" w:lineRule="auto"/>
        <w:rPr>
          <w:rFonts w:asciiTheme="majorHAnsi" w:hAnsiTheme="majorHAnsi"/>
        </w:rPr>
      </w:pPr>
      <w:r w:rsidRPr="002B6ACF">
        <w:rPr>
          <w:rFonts w:asciiTheme="majorHAnsi" w:hAnsiTheme="majorHAnsi"/>
        </w:rPr>
        <w:t>This is not the first time that MVC has encountered this kind of response on behalf of political parties.</w:t>
      </w:r>
    </w:p>
    <w:p w14:paraId="704FF469" w14:textId="77777777" w:rsidR="00164722" w:rsidRPr="002B6ACF" w:rsidRDefault="00164722" w:rsidP="002B6ACF">
      <w:pPr>
        <w:pStyle w:val="WWList1"/>
        <w:spacing w:line="240" w:lineRule="auto"/>
        <w:rPr>
          <w:rFonts w:asciiTheme="majorHAnsi" w:hAnsiTheme="majorHAnsi"/>
        </w:rPr>
      </w:pPr>
      <w:r w:rsidRPr="002B6ACF">
        <w:rPr>
          <w:rFonts w:asciiTheme="majorHAnsi" w:hAnsiTheme="majorHAnsi"/>
          <w:lang w:val="en-US"/>
        </w:rPr>
        <w:t xml:space="preserve">We know that PAIA is inadequate. </w:t>
      </w:r>
    </w:p>
    <w:p w14:paraId="77B6A699" w14:textId="2769F89A" w:rsidR="00E17849" w:rsidRPr="002B6ACF" w:rsidRDefault="00164722" w:rsidP="002B6ACF">
      <w:pPr>
        <w:pStyle w:val="WWList1"/>
        <w:spacing w:line="240" w:lineRule="auto"/>
        <w:rPr>
          <w:rFonts w:asciiTheme="majorHAnsi" w:hAnsiTheme="majorHAnsi"/>
        </w:rPr>
      </w:pPr>
      <w:r w:rsidRPr="002B6ACF">
        <w:rPr>
          <w:rFonts w:asciiTheme="majorHAnsi" w:hAnsiTheme="majorHAnsi"/>
          <w:lang w:val="en-US"/>
        </w:rPr>
        <w:t>This is why we are proceeding to court.</w:t>
      </w:r>
    </w:p>
    <w:sectPr w:rsidR="00E17849" w:rsidRPr="002B6ACF" w:rsidSect="00E1784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6FB6B5" w14:textId="77777777" w:rsidR="00936167" w:rsidRDefault="00936167" w:rsidP="00EF4034">
      <w:r>
        <w:separator/>
      </w:r>
    </w:p>
  </w:endnote>
  <w:endnote w:type="continuationSeparator" w:id="0">
    <w:p w14:paraId="1D76C21E" w14:textId="77777777" w:rsidR="00936167" w:rsidRDefault="00936167" w:rsidP="00EF40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FF94F" w14:textId="77777777" w:rsidR="00936167" w:rsidRDefault="00936167" w:rsidP="00EF4034">
      <w:r>
        <w:separator/>
      </w:r>
    </w:p>
  </w:footnote>
  <w:footnote w:type="continuationSeparator" w:id="0">
    <w:p w14:paraId="2608FF76" w14:textId="77777777" w:rsidR="00936167" w:rsidRDefault="00936167" w:rsidP="00EF40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0DF1"/>
    <w:multiLevelType w:val="hybridMultilevel"/>
    <w:tmpl w:val="68003670"/>
    <w:lvl w:ilvl="0" w:tplc="B9826034">
      <w:start w:val="1"/>
      <w:numFmt w:val="upperLetter"/>
      <w:pStyle w:val="WWSectionAlpha"/>
      <w:lvlText w:val="%1."/>
      <w:lvlJc w:val="left"/>
      <w:pPr>
        <w:tabs>
          <w:tab w:val="num" w:pos="567"/>
        </w:tabs>
        <w:ind w:left="567" w:hanging="567"/>
      </w:pPr>
      <w:rPr>
        <w:rFonts w:hint="default"/>
        <w:b w:val="0"/>
        <w:i w:val="0"/>
      </w:rPr>
    </w:lvl>
    <w:lvl w:ilvl="1" w:tplc="08090019" w:tentative="1">
      <w:start w:val="1"/>
      <w:numFmt w:val="lowerLetter"/>
      <w:pStyle w:val="WWList2"/>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A7B1789"/>
    <w:multiLevelType w:val="multilevel"/>
    <w:tmpl w:val="BD1EB5A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1134"/>
        </w:tabs>
        <w:ind w:left="1134" w:hanging="1134"/>
      </w:pPr>
      <w:rPr>
        <w:rFonts w:ascii="Symbol" w:hAnsi="Symbol" w:hint="default"/>
        <w:b w:val="0"/>
        <w:i w:val="0"/>
      </w:rPr>
    </w:lvl>
    <w:lvl w:ilvl="2">
      <w:start w:val="1"/>
      <w:numFmt w:val="decimal"/>
      <w:lvlText w:val="%1.%2.%3"/>
      <w:lvlJc w:val="left"/>
      <w:pPr>
        <w:tabs>
          <w:tab w:val="num" w:pos="1701"/>
        </w:tabs>
        <w:ind w:left="1701" w:hanging="1701"/>
      </w:pPr>
      <w:rPr>
        <w:rFonts w:cs="Times New Roman" w:hint="default"/>
        <w:b w:val="0"/>
        <w:i w:val="0"/>
      </w:rPr>
    </w:lvl>
    <w:lvl w:ilvl="3">
      <w:start w:val="1"/>
      <w:numFmt w:val="decimal"/>
      <w:lvlText w:val="%1.%2.%3.%4"/>
      <w:lvlJc w:val="left"/>
      <w:pPr>
        <w:tabs>
          <w:tab w:val="num" w:pos="2268"/>
        </w:tabs>
        <w:ind w:left="2268" w:hanging="2268"/>
      </w:pPr>
      <w:rPr>
        <w:rFonts w:cs="Times New Roman" w:hint="default"/>
        <w:b w:val="0"/>
        <w:i w:val="0"/>
      </w:rPr>
    </w:lvl>
    <w:lvl w:ilvl="4">
      <w:start w:val="1"/>
      <w:numFmt w:val="decimal"/>
      <w:lvlText w:val="%1.%2.%3.%4.%5"/>
      <w:lvlJc w:val="left"/>
      <w:pPr>
        <w:tabs>
          <w:tab w:val="num" w:pos="2835"/>
        </w:tabs>
        <w:ind w:left="2835" w:hanging="2835"/>
      </w:pPr>
      <w:rPr>
        <w:rFonts w:cs="Times New Roman" w:hint="default"/>
        <w:b w:val="0"/>
        <w:i w:val="0"/>
      </w:rPr>
    </w:lvl>
    <w:lvl w:ilvl="5">
      <w:start w:val="1"/>
      <w:numFmt w:val="decimal"/>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 w15:restartNumberingAfterBreak="0">
    <w:nsid w:val="50116C45"/>
    <w:multiLevelType w:val="multilevel"/>
    <w:tmpl w:val="BD1EB5AE"/>
    <w:lvl w:ilvl="0">
      <w:start w:val="1"/>
      <w:numFmt w:val="decimal"/>
      <w:lvlText w:val="%1."/>
      <w:lvlJc w:val="left"/>
      <w:pPr>
        <w:tabs>
          <w:tab w:val="num" w:pos="567"/>
        </w:tabs>
        <w:ind w:left="567" w:hanging="567"/>
      </w:pPr>
      <w:rPr>
        <w:rFonts w:cs="Times New Roman" w:hint="default"/>
        <w:b w:val="0"/>
        <w:i w:val="0"/>
      </w:rPr>
    </w:lvl>
    <w:lvl w:ilvl="1">
      <w:start w:val="1"/>
      <w:numFmt w:val="bullet"/>
      <w:lvlText w:val=""/>
      <w:lvlJc w:val="left"/>
      <w:pPr>
        <w:tabs>
          <w:tab w:val="num" w:pos="1134"/>
        </w:tabs>
        <w:ind w:left="1134" w:hanging="1134"/>
      </w:pPr>
      <w:rPr>
        <w:rFonts w:ascii="Symbol" w:hAnsi="Symbol" w:hint="default"/>
        <w:b w:val="0"/>
        <w:i w:val="0"/>
      </w:rPr>
    </w:lvl>
    <w:lvl w:ilvl="2">
      <w:start w:val="1"/>
      <w:numFmt w:val="decimal"/>
      <w:lvlText w:val="%1.%2.%3"/>
      <w:lvlJc w:val="left"/>
      <w:pPr>
        <w:tabs>
          <w:tab w:val="num" w:pos="1701"/>
        </w:tabs>
        <w:ind w:left="1701" w:hanging="1701"/>
      </w:pPr>
      <w:rPr>
        <w:rFonts w:cs="Times New Roman" w:hint="default"/>
        <w:b w:val="0"/>
        <w:i w:val="0"/>
      </w:rPr>
    </w:lvl>
    <w:lvl w:ilvl="3">
      <w:start w:val="1"/>
      <w:numFmt w:val="decimal"/>
      <w:lvlText w:val="%1.%2.%3.%4"/>
      <w:lvlJc w:val="left"/>
      <w:pPr>
        <w:tabs>
          <w:tab w:val="num" w:pos="2268"/>
        </w:tabs>
        <w:ind w:left="2268" w:hanging="2268"/>
      </w:pPr>
      <w:rPr>
        <w:rFonts w:cs="Times New Roman" w:hint="default"/>
        <w:b w:val="0"/>
        <w:i w:val="0"/>
      </w:rPr>
    </w:lvl>
    <w:lvl w:ilvl="4">
      <w:start w:val="1"/>
      <w:numFmt w:val="decimal"/>
      <w:lvlText w:val="%1.%2.%3.%4.%5"/>
      <w:lvlJc w:val="left"/>
      <w:pPr>
        <w:tabs>
          <w:tab w:val="num" w:pos="2835"/>
        </w:tabs>
        <w:ind w:left="2835" w:hanging="2835"/>
      </w:pPr>
      <w:rPr>
        <w:rFonts w:cs="Times New Roman" w:hint="default"/>
        <w:b w:val="0"/>
        <w:i w:val="0"/>
      </w:rPr>
    </w:lvl>
    <w:lvl w:ilvl="5">
      <w:start w:val="1"/>
      <w:numFmt w:val="decimal"/>
      <w:lvlText w:val="%1.%2.%3.%4.%5.%6"/>
      <w:lvlJc w:val="left"/>
      <w:pPr>
        <w:tabs>
          <w:tab w:val="num" w:pos="3402"/>
        </w:tabs>
        <w:ind w:left="3402" w:hanging="3402"/>
      </w:pPr>
      <w:rPr>
        <w:rFonts w:cs="Times New Roman" w:hint="default"/>
        <w:b w:val="0"/>
        <w:i w:val="0"/>
      </w:rPr>
    </w:lvl>
    <w:lvl w:ilvl="6">
      <w:start w:val="1"/>
      <w:numFmt w:val="decimal"/>
      <w:lvlText w:val="%1.%2.%3.%4.%5.%6.%7"/>
      <w:lvlJc w:val="left"/>
      <w:pPr>
        <w:tabs>
          <w:tab w:val="num" w:pos="3572"/>
        </w:tabs>
        <w:ind w:left="3572" w:hanging="3572"/>
      </w:pPr>
      <w:rPr>
        <w:rFonts w:cs="Times New Roman" w:hint="default"/>
        <w:b w:val="0"/>
        <w:i w:val="0"/>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num w:numId="1">
    <w:abstractNumId w:val="1"/>
  </w:num>
  <w:num w:numId="2">
    <w:abstractNumId w:val="0"/>
  </w:num>
  <w:num w:numId="3">
    <w:abstractNumId w:val="1"/>
    <w:lvlOverride w:ilvl="0">
      <w:lvl w:ilvl="0">
        <w:start w:val="1"/>
        <w:numFmt w:val="decimal"/>
        <w:lvlText w:val="%1."/>
        <w:lvlJc w:val="left"/>
        <w:pPr>
          <w:tabs>
            <w:tab w:val="num" w:pos="567"/>
          </w:tabs>
          <w:ind w:left="567" w:hanging="567"/>
        </w:pPr>
        <w:rPr>
          <w:rFonts w:cs="Times New Roman" w:hint="default"/>
          <w:b w:val="0"/>
          <w:i w:val="0"/>
          <w:color w:val="0000FF"/>
          <w:u w:val="double"/>
        </w:rPr>
      </w:lvl>
    </w:lvlOverride>
    <w:lvlOverride w:ilvl="1">
      <w:lvl w:ilvl="1">
        <w:start w:val="1"/>
        <w:numFmt w:val="decimal"/>
        <w:lvlText w:val="%1.%2"/>
        <w:lvlJc w:val="left"/>
        <w:pPr>
          <w:tabs>
            <w:tab w:val="num" w:pos="1134"/>
          </w:tabs>
          <w:ind w:left="1134" w:hanging="1134"/>
        </w:pPr>
        <w:rPr>
          <w:rFonts w:cs="Times New Roman" w:hint="default"/>
          <w:b w:val="0"/>
          <w:i w:val="0"/>
          <w:color w:val="0000FF"/>
          <w:u w:val="double"/>
        </w:rPr>
      </w:lvl>
    </w:lvlOverride>
    <w:lvlOverride w:ilvl="2">
      <w:lvl w:ilvl="2">
        <w:start w:val="1"/>
        <w:numFmt w:val="decimal"/>
        <w:lvlText w:val="%1.%2.%3"/>
        <w:lvlJc w:val="left"/>
        <w:pPr>
          <w:tabs>
            <w:tab w:val="num" w:pos="1701"/>
          </w:tabs>
          <w:ind w:left="1701" w:hanging="1701"/>
        </w:pPr>
        <w:rPr>
          <w:rFonts w:cs="Times New Roman" w:hint="default"/>
          <w:b w:val="0"/>
          <w:i w:val="0"/>
          <w:color w:val="0000FF"/>
          <w:u w:val="double"/>
        </w:rPr>
      </w:lvl>
    </w:lvlOverride>
    <w:lvlOverride w:ilvl="3">
      <w:lvl w:ilvl="3">
        <w:start w:val="1"/>
        <w:numFmt w:val="decimal"/>
        <w:lvlText w:val="%1.%2.%3.%4"/>
        <w:lvlJc w:val="left"/>
        <w:pPr>
          <w:tabs>
            <w:tab w:val="num" w:pos="2268"/>
          </w:tabs>
          <w:ind w:left="2268" w:hanging="2268"/>
        </w:pPr>
        <w:rPr>
          <w:rFonts w:cs="Times New Roman" w:hint="default"/>
          <w:b w:val="0"/>
          <w:i w:val="0"/>
          <w:color w:val="0000FF"/>
          <w:u w:val="double"/>
        </w:rPr>
      </w:lvl>
    </w:lvlOverride>
    <w:lvlOverride w:ilvl="4">
      <w:lvl w:ilvl="4">
        <w:start w:val="1"/>
        <w:numFmt w:val="decimal"/>
        <w:lvlText w:val="%1.%2.%3.%4.%5"/>
        <w:lvlJc w:val="left"/>
        <w:pPr>
          <w:tabs>
            <w:tab w:val="num" w:pos="2835"/>
          </w:tabs>
          <w:ind w:left="2835" w:hanging="2835"/>
        </w:pPr>
        <w:rPr>
          <w:rFonts w:cs="Times New Roman" w:hint="default"/>
          <w:b w:val="0"/>
          <w:i w:val="0"/>
          <w:color w:val="0000FF"/>
          <w:u w:val="double"/>
        </w:rPr>
      </w:lvl>
    </w:lvlOverride>
    <w:lvlOverride w:ilvl="5">
      <w:lvl w:ilvl="5">
        <w:start w:val="1"/>
        <w:numFmt w:val="decimal"/>
        <w:lvlText w:val="%1.%2.%3.%4.%5.%6"/>
        <w:lvlJc w:val="left"/>
        <w:pPr>
          <w:tabs>
            <w:tab w:val="num" w:pos="3402"/>
          </w:tabs>
          <w:ind w:left="3402" w:hanging="3402"/>
        </w:pPr>
        <w:rPr>
          <w:rFonts w:cs="Times New Roman" w:hint="default"/>
          <w:b w:val="0"/>
          <w:i w:val="0"/>
          <w:color w:val="0000FF"/>
          <w:u w:val="double"/>
        </w:rPr>
      </w:lvl>
    </w:lvlOverride>
    <w:lvlOverride w:ilvl="6">
      <w:lvl w:ilvl="6">
        <w:start w:val="1"/>
        <w:numFmt w:val="decimal"/>
        <w:lvlText w:val="%1.%2.%3.%4.%5.%6.%7"/>
        <w:lvlJc w:val="left"/>
        <w:pPr>
          <w:tabs>
            <w:tab w:val="num" w:pos="3572"/>
          </w:tabs>
          <w:ind w:left="3572" w:hanging="3572"/>
        </w:pPr>
        <w:rPr>
          <w:rFonts w:cs="Times New Roman" w:hint="default"/>
          <w:b w:val="0"/>
          <w:i w:val="0"/>
          <w:color w:val="0000FF"/>
          <w:u w:val="double"/>
        </w:rPr>
      </w:lvl>
    </w:lvlOverride>
    <w:lvlOverride w:ilvl="7">
      <w:lvl w:ilvl="7">
        <w:start w:val="1"/>
        <w:numFmt w:val="decimal"/>
        <w:lvlText w:val="%1.%2.%3.%4.%5.%6.%7.%8."/>
        <w:lvlJc w:val="left"/>
        <w:pPr>
          <w:tabs>
            <w:tab w:val="num" w:pos="5760"/>
          </w:tabs>
          <w:ind w:left="3744" w:hanging="1224"/>
        </w:pPr>
        <w:rPr>
          <w:rFonts w:cs="Times New Roman" w:hint="default"/>
          <w:color w:val="0000FF"/>
          <w:u w:val="double"/>
        </w:rPr>
      </w:lvl>
    </w:lvlOverride>
    <w:lvlOverride w:ilvl="8">
      <w:lvl w:ilvl="8">
        <w:start w:val="1"/>
        <w:numFmt w:val="decimal"/>
        <w:lvlText w:val="%1.%2.%3.%4.%5.%6.%7.%8.%9."/>
        <w:lvlJc w:val="left"/>
        <w:pPr>
          <w:tabs>
            <w:tab w:val="num" w:pos="6480"/>
          </w:tabs>
          <w:ind w:left="4320" w:hanging="1440"/>
        </w:pPr>
        <w:rPr>
          <w:rFonts w:cs="Times New Roman" w:hint="default"/>
          <w:color w:val="0000FF"/>
          <w:u w:val="double"/>
        </w:rPr>
      </w:lvl>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34"/>
    <w:rsid w:val="00164722"/>
    <w:rsid w:val="00172E4A"/>
    <w:rsid w:val="002B6ACF"/>
    <w:rsid w:val="00387930"/>
    <w:rsid w:val="003D7119"/>
    <w:rsid w:val="0048700D"/>
    <w:rsid w:val="00701AF5"/>
    <w:rsid w:val="009178D1"/>
    <w:rsid w:val="00936167"/>
    <w:rsid w:val="0098148B"/>
    <w:rsid w:val="009E572D"/>
    <w:rsid w:val="00AC6318"/>
    <w:rsid w:val="00B2407C"/>
    <w:rsid w:val="00BC042B"/>
    <w:rsid w:val="00CC40A8"/>
    <w:rsid w:val="00D613E2"/>
    <w:rsid w:val="00DF0A59"/>
    <w:rsid w:val="00E17849"/>
    <w:rsid w:val="00E93A5D"/>
    <w:rsid w:val="00EC25BB"/>
    <w:rsid w:val="00EF1A86"/>
    <w:rsid w:val="00EF4034"/>
    <w:rsid w:val="00FA20F7"/>
    <w:rsid w:val="00FC4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785F92"/>
  <w14:defaultImageDpi w14:val="300"/>
  <w15:docId w15:val="{10DFC5AC-F60C-40B9-8B61-F2DDCCF9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WList1">
    <w:name w:val="WW_List1"/>
    <w:basedOn w:val="WWHeading1"/>
    <w:rsid w:val="00EF4034"/>
    <w:pPr>
      <w:keepNext w:val="0"/>
      <w:spacing w:before="0"/>
    </w:pPr>
    <w:rPr>
      <w:b w:val="0"/>
    </w:rPr>
  </w:style>
  <w:style w:type="paragraph" w:customStyle="1" w:styleId="WWHeading1">
    <w:name w:val="WW_Heading1"/>
    <w:basedOn w:val="Normal"/>
    <w:next w:val="Normal"/>
    <w:rsid w:val="00EF4034"/>
    <w:pPr>
      <w:keepNext/>
      <w:suppressAutoHyphens/>
      <w:spacing w:before="240" w:after="240" w:line="480" w:lineRule="auto"/>
      <w:jc w:val="both"/>
      <w:outlineLvl w:val="0"/>
    </w:pPr>
    <w:rPr>
      <w:rFonts w:ascii="Arial" w:eastAsia="Times New Roman" w:hAnsi="Arial" w:cs="Times New Roman"/>
      <w:b/>
      <w:lang w:val="en-GB" w:eastAsia="en-GB"/>
    </w:rPr>
  </w:style>
  <w:style w:type="paragraph" w:customStyle="1" w:styleId="WWHeading2">
    <w:name w:val="WW_Heading2"/>
    <w:basedOn w:val="Normal"/>
    <w:next w:val="Normal"/>
    <w:rsid w:val="00EF4034"/>
    <w:pPr>
      <w:keepNext/>
      <w:tabs>
        <w:tab w:val="left" w:pos="3402"/>
        <w:tab w:val="left" w:pos="3969"/>
      </w:tabs>
      <w:suppressAutoHyphens/>
      <w:spacing w:after="240" w:line="480" w:lineRule="auto"/>
      <w:jc w:val="both"/>
      <w:outlineLvl w:val="1"/>
    </w:pPr>
    <w:rPr>
      <w:rFonts w:ascii="Arial" w:eastAsia="Times New Roman" w:hAnsi="Arial" w:cs="Times New Roman"/>
      <w:b/>
      <w:lang w:val="en-GB" w:eastAsia="en-GB"/>
    </w:rPr>
  </w:style>
  <w:style w:type="paragraph" w:customStyle="1" w:styleId="WWHeading3">
    <w:name w:val="WW_Heading3"/>
    <w:basedOn w:val="Normal"/>
    <w:next w:val="Normal"/>
    <w:rsid w:val="00EF4034"/>
    <w:pPr>
      <w:keepNext/>
      <w:tabs>
        <w:tab w:val="left" w:pos="3969"/>
        <w:tab w:val="left" w:pos="4536"/>
      </w:tabs>
      <w:suppressAutoHyphens/>
      <w:spacing w:after="240" w:line="480" w:lineRule="auto"/>
      <w:jc w:val="both"/>
      <w:outlineLvl w:val="2"/>
    </w:pPr>
    <w:rPr>
      <w:rFonts w:ascii="Arial" w:eastAsia="Times New Roman" w:hAnsi="Arial" w:cs="Times New Roman"/>
      <w:b/>
      <w:lang w:val="en-GB" w:eastAsia="en-GB"/>
    </w:rPr>
  </w:style>
  <w:style w:type="paragraph" w:customStyle="1" w:styleId="WWHeading4">
    <w:name w:val="WW_Heading4"/>
    <w:basedOn w:val="Normal"/>
    <w:next w:val="Normal"/>
    <w:rsid w:val="00EF4034"/>
    <w:pPr>
      <w:keepNext/>
      <w:suppressAutoHyphens/>
      <w:spacing w:after="240" w:line="480" w:lineRule="auto"/>
      <w:jc w:val="both"/>
      <w:outlineLvl w:val="3"/>
    </w:pPr>
    <w:rPr>
      <w:rFonts w:ascii="Arial" w:eastAsia="Times New Roman" w:hAnsi="Arial" w:cs="Times New Roman"/>
      <w:b/>
      <w:lang w:val="en-GB" w:eastAsia="en-GB"/>
    </w:rPr>
  </w:style>
  <w:style w:type="paragraph" w:customStyle="1" w:styleId="WWHeading5">
    <w:name w:val="WW_Heading5"/>
    <w:basedOn w:val="Normal"/>
    <w:next w:val="Normal"/>
    <w:rsid w:val="00EF4034"/>
    <w:pPr>
      <w:keepNext/>
      <w:suppressAutoHyphens/>
      <w:spacing w:after="240" w:line="480" w:lineRule="auto"/>
      <w:jc w:val="both"/>
      <w:outlineLvl w:val="4"/>
    </w:pPr>
    <w:rPr>
      <w:rFonts w:ascii="Arial" w:eastAsia="Times New Roman" w:hAnsi="Arial" w:cs="Times New Roman"/>
      <w:b/>
      <w:lang w:val="en-GB" w:eastAsia="en-GB"/>
    </w:rPr>
  </w:style>
  <w:style w:type="paragraph" w:customStyle="1" w:styleId="WWHeading6">
    <w:name w:val="WW_Heading6"/>
    <w:basedOn w:val="Normal"/>
    <w:next w:val="Normal"/>
    <w:rsid w:val="00EF4034"/>
    <w:pPr>
      <w:keepNext/>
      <w:suppressAutoHyphens/>
      <w:spacing w:after="240" w:line="480" w:lineRule="auto"/>
      <w:jc w:val="both"/>
      <w:outlineLvl w:val="5"/>
    </w:pPr>
    <w:rPr>
      <w:rFonts w:ascii="Arial" w:eastAsia="Times New Roman" w:hAnsi="Arial" w:cs="Times New Roman"/>
      <w:b/>
      <w:lang w:val="en-GB" w:eastAsia="en-GB"/>
    </w:rPr>
  </w:style>
  <w:style w:type="paragraph" w:styleId="FootnoteText">
    <w:name w:val="footnote text"/>
    <w:basedOn w:val="Normal"/>
    <w:link w:val="FootnoteTextChar"/>
    <w:uiPriority w:val="99"/>
    <w:unhideWhenUsed/>
    <w:rsid w:val="00EF4034"/>
  </w:style>
  <w:style w:type="character" w:customStyle="1" w:styleId="FootnoteTextChar">
    <w:name w:val="Footnote Text Char"/>
    <w:basedOn w:val="DefaultParagraphFont"/>
    <w:link w:val="FootnoteText"/>
    <w:uiPriority w:val="99"/>
    <w:rsid w:val="00EF4034"/>
  </w:style>
  <w:style w:type="character" w:styleId="FootnoteReference">
    <w:name w:val="footnote reference"/>
    <w:basedOn w:val="DefaultParagraphFont"/>
    <w:uiPriority w:val="99"/>
    <w:unhideWhenUsed/>
    <w:rsid w:val="00EF4034"/>
    <w:rPr>
      <w:vertAlign w:val="superscript"/>
    </w:rPr>
  </w:style>
  <w:style w:type="paragraph" w:customStyle="1" w:styleId="WWBodyText2">
    <w:name w:val="WW_BodyText2"/>
    <w:basedOn w:val="Normal"/>
    <w:rsid w:val="00D613E2"/>
    <w:pPr>
      <w:tabs>
        <w:tab w:val="left" w:pos="3402"/>
        <w:tab w:val="left" w:pos="3969"/>
      </w:tabs>
      <w:suppressAutoHyphens/>
      <w:spacing w:after="240" w:line="480" w:lineRule="auto"/>
      <w:ind w:left="1134"/>
      <w:jc w:val="both"/>
    </w:pPr>
    <w:rPr>
      <w:rFonts w:ascii="Arial" w:eastAsia="Times New Roman" w:hAnsi="Arial" w:cs="Times New Roman"/>
      <w:lang w:val="en-GB" w:eastAsia="en-GB"/>
    </w:rPr>
  </w:style>
  <w:style w:type="paragraph" w:customStyle="1" w:styleId="WWBodyText3">
    <w:name w:val="WW_BodyText3"/>
    <w:basedOn w:val="Normal"/>
    <w:rsid w:val="00D613E2"/>
    <w:pPr>
      <w:tabs>
        <w:tab w:val="left" w:pos="3969"/>
        <w:tab w:val="left" w:pos="4536"/>
      </w:tabs>
      <w:suppressAutoHyphens/>
      <w:spacing w:after="240" w:line="480" w:lineRule="auto"/>
      <w:ind w:left="1701"/>
      <w:jc w:val="both"/>
    </w:pPr>
    <w:rPr>
      <w:rFonts w:ascii="Arial" w:eastAsia="Times New Roman" w:hAnsi="Arial" w:cs="Times New Roman"/>
      <w:lang w:val="en-GB" w:eastAsia="en-GB"/>
    </w:rPr>
  </w:style>
  <w:style w:type="paragraph" w:customStyle="1" w:styleId="WWList2">
    <w:name w:val="WW_List2"/>
    <w:basedOn w:val="WWHeading2"/>
    <w:rsid w:val="00DF0A59"/>
    <w:pPr>
      <w:keepNext w:val="0"/>
      <w:numPr>
        <w:numId w:val="2"/>
      </w:numPr>
    </w:pPr>
    <w:rPr>
      <w:b w:val="0"/>
    </w:rPr>
  </w:style>
  <w:style w:type="character" w:styleId="EndnoteReference">
    <w:name w:val="endnote reference"/>
    <w:rsid w:val="00701AF5"/>
    <w:rPr>
      <w:rFonts w:cs="Times New Roman"/>
      <w:vertAlign w:val="superscript"/>
    </w:rPr>
  </w:style>
  <w:style w:type="paragraph" w:customStyle="1" w:styleId="WWSectionAlpha">
    <w:name w:val="WW_SectionAlpha"/>
    <w:basedOn w:val="Normal"/>
    <w:next w:val="Normal"/>
    <w:rsid w:val="00701AF5"/>
    <w:pPr>
      <w:keepNext/>
      <w:numPr>
        <w:numId w:val="2"/>
      </w:numPr>
      <w:suppressAutoHyphens/>
      <w:spacing w:after="240" w:line="480" w:lineRule="auto"/>
      <w:jc w:val="both"/>
    </w:pPr>
    <w:rPr>
      <w:rFonts w:ascii="Arial" w:eastAsia="Times New Roman" w:hAnsi="Arial" w:cs="Times New Roman"/>
      <w:b/>
      <w:spacing w:val="2"/>
      <w:lang w:val="en-GB" w:eastAsia="en-GB"/>
    </w:rPr>
  </w:style>
  <w:style w:type="paragraph" w:styleId="BalloonText">
    <w:name w:val="Balloon Text"/>
    <w:basedOn w:val="Normal"/>
    <w:link w:val="BalloonTextChar"/>
    <w:uiPriority w:val="99"/>
    <w:semiHidden/>
    <w:unhideWhenUsed/>
    <w:rsid w:val="00FA20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0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1362</Words>
  <Characters>7768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Cape Bar</Company>
  <LinksUpToDate>false</LinksUpToDate>
  <CharactersWithSpaces>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Solik Solik</dc:creator>
  <cp:keywords/>
  <dc:description/>
  <cp:lastModifiedBy>My Vote Counts</cp:lastModifiedBy>
  <cp:revision>3</cp:revision>
  <cp:lastPrinted>2016-07-18T10:17:00Z</cp:lastPrinted>
  <dcterms:created xsi:type="dcterms:W3CDTF">2016-07-28T03:57:00Z</dcterms:created>
  <dcterms:modified xsi:type="dcterms:W3CDTF">2016-07-28T03:58:00Z</dcterms:modified>
</cp:coreProperties>
</file>